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2E2DED" w:rsidRDefault="00BB7A7E" w:rsidP="00BB7A7E">
      <w:pPr>
        <w:pStyle w:val="1"/>
        <w:pBdr>
          <w:bottom w:val="single" w:sz="6" w:space="1" w:color="auto"/>
        </w:pBdr>
        <w:ind w:left="0" w:firstLine="0"/>
        <w:contextualSpacing/>
        <w:jc w:val="right"/>
        <w:rPr>
          <w:bCs/>
          <w:iCs w:val="0"/>
          <w:sz w:val="20"/>
          <w:szCs w:val="20"/>
          <w:lang w:val="ru-RU"/>
        </w:rPr>
      </w:pPr>
      <w:r w:rsidRPr="002E2DED">
        <w:rPr>
          <w:bCs/>
          <w:sz w:val="20"/>
          <w:szCs w:val="20"/>
        </w:rPr>
        <w:t xml:space="preserve">Додаток </w:t>
      </w:r>
      <w:r w:rsidR="00DE060D" w:rsidRPr="002E2DED">
        <w:rPr>
          <w:bCs/>
          <w:sz w:val="20"/>
          <w:szCs w:val="20"/>
        </w:rPr>
        <w:t>3</w:t>
      </w:r>
      <w:r w:rsidRPr="002E2DED">
        <w:rPr>
          <w:bCs/>
          <w:sz w:val="20"/>
          <w:szCs w:val="20"/>
        </w:rPr>
        <w:t xml:space="preserve"> до протоколу</w:t>
      </w:r>
      <w:r w:rsidRPr="002E2DED">
        <w:rPr>
          <w:bCs/>
          <w:iCs w:val="0"/>
          <w:sz w:val="20"/>
          <w:szCs w:val="20"/>
        </w:rPr>
        <w:t xml:space="preserve"> спільного засідання ТК та КУАП № </w:t>
      </w:r>
      <w:r w:rsidR="002E2DED">
        <w:rPr>
          <w:bCs/>
          <w:iCs w:val="0"/>
          <w:sz w:val="20"/>
          <w:szCs w:val="20"/>
        </w:rPr>
        <w:t xml:space="preserve">130718/28 </w:t>
      </w:r>
      <w:r w:rsidRPr="002E2DED">
        <w:rPr>
          <w:bCs/>
          <w:iCs w:val="0"/>
          <w:sz w:val="20"/>
          <w:szCs w:val="20"/>
        </w:rPr>
        <w:t xml:space="preserve">від </w:t>
      </w:r>
      <w:r w:rsidR="002E2DED">
        <w:rPr>
          <w:bCs/>
          <w:iCs w:val="0"/>
          <w:sz w:val="20"/>
          <w:szCs w:val="20"/>
        </w:rPr>
        <w:t>13.07</w:t>
      </w:r>
      <w:r w:rsidRPr="002E2DED">
        <w:rPr>
          <w:bCs/>
          <w:iCs w:val="0"/>
          <w:sz w:val="20"/>
          <w:szCs w:val="20"/>
          <w:lang w:val="ru-RU"/>
        </w:rPr>
        <w:t>.2018</w:t>
      </w:r>
    </w:p>
    <w:p w:rsidR="00BB7A7E" w:rsidRPr="002E2DED" w:rsidRDefault="00BB7A7E" w:rsidP="00BB7A7E">
      <w:pPr>
        <w:contextualSpacing/>
        <w:rPr>
          <w:sz w:val="22"/>
          <w:szCs w:val="22"/>
        </w:rPr>
      </w:pPr>
    </w:p>
    <w:p w:rsidR="00AC2FCC" w:rsidRPr="002E2DED" w:rsidRDefault="00992E0C" w:rsidP="00992E0C">
      <w:pPr>
        <w:jc w:val="center"/>
        <w:rPr>
          <w:b/>
          <w:sz w:val="22"/>
          <w:szCs w:val="22"/>
        </w:rPr>
      </w:pPr>
      <w:r w:rsidRPr="002E2DED">
        <w:rPr>
          <w:b/>
          <w:sz w:val="22"/>
          <w:szCs w:val="22"/>
        </w:rPr>
        <w:t>Пропозиція</w:t>
      </w:r>
    </w:p>
    <w:p w:rsidR="00992E0C" w:rsidRPr="002E2DED" w:rsidRDefault="00992E0C" w:rsidP="00992E0C">
      <w:pPr>
        <w:jc w:val="center"/>
        <w:rPr>
          <w:b/>
          <w:sz w:val="22"/>
          <w:szCs w:val="22"/>
        </w:rPr>
      </w:pPr>
      <w:r w:rsidRPr="002E2DED">
        <w:rPr>
          <w:b/>
          <w:sz w:val="22"/>
          <w:szCs w:val="22"/>
        </w:rPr>
        <w:t xml:space="preserve"> про зміну умов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w:t>
      </w:r>
    </w:p>
    <w:p w:rsidR="00992E0C" w:rsidRPr="002E2DED" w:rsidRDefault="00992E0C" w:rsidP="00992E0C">
      <w:pPr>
        <w:jc w:val="center"/>
        <w:rPr>
          <w:b/>
          <w:sz w:val="22"/>
          <w:szCs w:val="22"/>
        </w:rPr>
      </w:pPr>
    </w:p>
    <w:p w:rsidR="00992E0C" w:rsidRPr="002E2DED" w:rsidRDefault="00992E0C" w:rsidP="00992E0C">
      <w:pPr>
        <w:jc w:val="center"/>
        <w:rPr>
          <w:b/>
          <w:sz w:val="22"/>
          <w:szCs w:val="22"/>
        </w:rPr>
      </w:pPr>
      <w:r w:rsidRPr="002E2DED">
        <w:rPr>
          <w:b/>
          <w:sz w:val="22"/>
          <w:szCs w:val="22"/>
        </w:rPr>
        <w:t>ШАНОВНІ КЛІЄНТИ!</w:t>
      </w:r>
    </w:p>
    <w:p w:rsidR="00AC2FCC" w:rsidRPr="002E2DED" w:rsidRDefault="00AC2FCC" w:rsidP="00992E0C">
      <w:pPr>
        <w:jc w:val="center"/>
        <w:rPr>
          <w:b/>
          <w:sz w:val="22"/>
          <w:szCs w:val="22"/>
        </w:rPr>
      </w:pPr>
    </w:p>
    <w:p w:rsidR="00992E0C" w:rsidRPr="002E2DED" w:rsidRDefault="00992E0C" w:rsidP="00992E0C">
      <w:pPr>
        <w:ind w:firstLine="567"/>
        <w:jc w:val="both"/>
        <w:rPr>
          <w:sz w:val="22"/>
          <w:szCs w:val="22"/>
        </w:rPr>
      </w:pPr>
      <w:r w:rsidRPr="002E2DED">
        <w:rPr>
          <w:sz w:val="22"/>
          <w:szCs w:val="22"/>
        </w:rPr>
        <w:t xml:space="preserve">Повідомляємо, що з </w:t>
      </w:r>
      <w:r w:rsidR="002E2DED" w:rsidRPr="002E2DED">
        <w:rPr>
          <w:b/>
          <w:sz w:val="22"/>
          <w:szCs w:val="22"/>
        </w:rPr>
        <w:t>01.08</w:t>
      </w:r>
      <w:r w:rsidR="009262DC" w:rsidRPr="002E2DED">
        <w:rPr>
          <w:b/>
          <w:sz w:val="22"/>
          <w:szCs w:val="22"/>
        </w:rPr>
        <w:t>.2018</w:t>
      </w:r>
      <w:r w:rsidRPr="002E2DED">
        <w:rPr>
          <w:sz w:val="22"/>
          <w:szCs w:val="22"/>
        </w:rPr>
        <w:t xml:space="preserve"> АБ «УКРГАЗБАНК» вносить зміни </w:t>
      </w:r>
      <w:r w:rsidR="00B0686E" w:rsidRPr="002E2DED">
        <w:rPr>
          <w:sz w:val="22"/>
          <w:szCs w:val="22"/>
        </w:rPr>
        <w:t xml:space="preserve">та доповнення </w:t>
      </w:r>
      <w:r w:rsidRPr="002E2DED">
        <w:rPr>
          <w:sz w:val="22"/>
          <w:szCs w:val="22"/>
        </w:rPr>
        <w:t>до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w:t>
      </w:r>
      <w:r w:rsidR="00C941ED" w:rsidRPr="002E2DED">
        <w:rPr>
          <w:sz w:val="22"/>
          <w:szCs w:val="22"/>
        </w:rPr>
        <w:t xml:space="preserve"> (далі – Правила)</w:t>
      </w:r>
      <w:r w:rsidRPr="002E2DED">
        <w:rPr>
          <w:bCs/>
          <w:sz w:val="22"/>
          <w:szCs w:val="22"/>
        </w:rPr>
        <w:t>,</w:t>
      </w:r>
      <w:r w:rsidRPr="002E2DED">
        <w:rPr>
          <w:sz w:val="22"/>
          <w:szCs w:val="22"/>
        </w:rPr>
        <w:t xml:space="preserve"> а саме:</w:t>
      </w:r>
    </w:p>
    <w:p w:rsidR="00CA0D57" w:rsidRPr="002E2DED" w:rsidRDefault="00CA0D57" w:rsidP="00992E0C">
      <w:pPr>
        <w:ind w:firstLine="567"/>
        <w:jc w:val="both"/>
        <w:rPr>
          <w:sz w:val="22"/>
          <w:szCs w:val="22"/>
        </w:rPr>
      </w:pPr>
      <w:r w:rsidRPr="002E2DED">
        <w:rPr>
          <w:sz w:val="22"/>
          <w:szCs w:val="22"/>
        </w:rPr>
        <w:t>1. Розділ 1 Правил доповнюється новим пунктом 1.12 наступного змісту:</w:t>
      </w:r>
    </w:p>
    <w:p w:rsidR="00A251CE" w:rsidRPr="002E2DED" w:rsidRDefault="00CA0D57" w:rsidP="006A5B80">
      <w:pPr>
        <w:jc w:val="both"/>
        <w:rPr>
          <w:sz w:val="22"/>
          <w:szCs w:val="22"/>
        </w:rPr>
      </w:pPr>
      <w:r w:rsidRPr="002E2DED">
        <w:rPr>
          <w:sz w:val="22"/>
          <w:szCs w:val="22"/>
        </w:rPr>
        <w:t>«</w:t>
      </w:r>
      <w:r w:rsidR="00A251CE" w:rsidRPr="002E2DED">
        <w:rPr>
          <w:sz w:val="22"/>
          <w:szCs w:val="22"/>
        </w:rPr>
        <w:t>1.12. Депозитний рахунок - вкладний (депозитний) рахунок, що відкривається банком клієнту на договірній основі для зберігання коштів та/або банківських металів, що передаються клієнтом банку в управління на встановлений строк або без зазначення такого строку, під визначений процент (дохід) і підлягають поверненню клієнту відповідно до законодавства України та умов договору на підставі підписаної Заяви-Договору та умов Правил надання послуг на відкриття та обслуговування вкладних (депозитних) рахунків та поточних рахунків фізичних осіб в АБ «УКРГАЗБАНК».</w:t>
      </w:r>
      <w:r w:rsidRPr="002E2DED">
        <w:rPr>
          <w:sz w:val="22"/>
          <w:szCs w:val="22"/>
        </w:rPr>
        <w:t>»</w:t>
      </w:r>
    </w:p>
    <w:p w:rsidR="00CA0D57" w:rsidRPr="002E2DED" w:rsidRDefault="00CA0D57" w:rsidP="00CA0D57">
      <w:pPr>
        <w:spacing w:after="120"/>
        <w:jc w:val="both"/>
        <w:rPr>
          <w:sz w:val="22"/>
          <w:szCs w:val="22"/>
        </w:rPr>
      </w:pPr>
      <w:r w:rsidRPr="002E2DED">
        <w:rPr>
          <w:sz w:val="22"/>
          <w:szCs w:val="22"/>
        </w:rPr>
        <w:t xml:space="preserve">        В зв</w:t>
      </w:r>
      <w:r w:rsidRPr="002E2DED">
        <w:rPr>
          <w:sz w:val="22"/>
          <w:szCs w:val="22"/>
          <w:lang w:val="en-US"/>
        </w:rPr>
        <w:t>’</w:t>
      </w:r>
      <w:r w:rsidRPr="002E2DED">
        <w:rPr>
          <w:sz w:val="22"/>
          <w:szCs w:val="22"/>
          <w:lang w:val="ru-RU"/>
        </w:rPr>
        <w:t>язку цим нумерац</w:t>
      </w:r>
      <w:r w:rsidRPr="002E2DED">
        <w:rPr>
          <w:sz w:val="22"/>
          <w:szCs w:val="22"/>
        </w:rPr>
        <w:t>ія підпунктів 1.12-1.62 Правил змінюється на 1.13 -1.63.</w:t>
      </w:r>
    </w:p>
    <w:p w:rsidR="00CA0D57" w:rsidRPr="002E2DED" w:rsidRDefault="00CA0D57" w:rsidP="00CA0D57">
      <w:pPr>
        <w:spacing w:after="120"/>
        <w:ind w:firstLine="567"/>
        <w:jc w:val="both"/>
        <w:rPr>
          <w:sz w:val="22"/>
          <w:szCs w:val="22"/>
        </w:rPr>
      </w:pPr>
      <w:r w:rsidRPr="002E2DED">
        <w:rPr>
          <w:sz w:val="22"/>
          <w:szCs w:val="22"/>
        </w:rPr>
        <w:t xml:space="preserve">2. </w:t>
      </w:r>
      <w:r w:rsidR="006A5B80" w:rsidRPr="002E2DED">
        <w:rPr>
          <w:sz w:val="22"/>
          <w:szCs w:val="22"/>
        </w:rPr>
        <w:t>Пункт 1.15 Розділу 1 Правил викладається в наступній редакції:</w:t>
      </w:r>
    </w:p>
    <w:p w:rsidR="00BB7A7E" w:rsidRPr="002E2DED" w:rsidRDefault="006A5B80" w:rsidP="00DA62BB">
      <w:pPr>
        <w:spacing w:after="120"/>
        <w:jc w:val="both"/>
        <w:rPr>
          <w:sz w:val="22"/>
          <w:szCs w:val="22"/>
        </w:rPr>
      </w:pPr>
      <w:r w:rsidRPr="002E2DED">
        <w:rPr>
          <w:sz w:val="22"/>
          <w:szCs w:val="22"/>
        </w:rPr>
        <w:t>«</w:t>
      </w:r>
      <w:r w:rsidR="00BB7A7E" w:rsidRPr="002E2DED">
        <w:rPr>
          <w:sz w:val="22"/>
          <w:szCs w:val="22"/>
        </w:rPr>
        <w:t>1.1</w:t>
      </w:r>
      <w:r w:rsidR="00A251CE" w:rsidRPr="002E2DED">
        <w:rPr>
          <w:sz w:val="22"/>
          <w:szCs w:val="22"/>
        </w:rPr>
        <w:t>5</w:t>
      </w:r>
      <w:r w:rsidR="00BB7A7E" w:rsidRPr="002E2DED">
        <w:rPr>
          <w:sz w:val="22"/>
          <w:szCs w:val="22"/>
        </w:rPr>
        <w:t>. Додаткова картка – Платіжна картка, емітована на ім’я Клієнта або на ім’я Довіреної особи на підставі звернення Клієнта.</w:t>
      </w:r>
      <w:r w:rsidRPr="002E2DED">
        <w:rPr>
          <w:sz w:val="22"/>
          <w:szCs w:val="22"/>
        </w:rPr>
        <w:t>»</w:t>
      </w:r>
    </w:p>
    <w:p w:rsidR="006A5B80" w:rsidRPr="002E2DED" w:rsidRDefault="006A5B80" w:rsidP="00DA62BB">
      <w:pPr>
        <w:spacing w:after="120"/>
        <w:jc w:val="both"/>
        <w:rPr>
          <w:sz w:val="22"/>
          <w:szCs w:val="22"/>
        </w:rPr>
      </w:pPr>
      <w:r w:rsidRPr="002E2DED">
        <w:rPr>
          <w:sz w:val="22"/>
          <w:szCs w:val="22"/>
        </w:rPr>
        <w:t xml:space="preserve">         3. Розділ 4 Правил доповнюється новим підпунктом 4.4. наступного змісту:</w:t>
      </w:r>
    </w:p>
    <w:p w:rsidR="00BB7A7E" w:rsidRPr="002E2DED" w:rsidRDefault="006A5B80" w:rsidP="006A5B80">
      <w:pPr>
        <w:jc w:val="both"/>
        <w:rPr>
          <w:sz w:val="22"/>
          <w:szCs w:val="22"/>
        </w:rPr>
      </w:pPr>
      <w:r w:rsidRPr="002E2DED">
        <w:rPr>
          <w:sz w:val="22"/>
          <w:szCs w:val="22"/>
        </w:rPr>
        <w:t>«</w:t>
      </w:r>
      <w:r w:rsidR="00BB7A7E" w:rsidRPr="002E2DED">
        <w:rPr>
          <w:sz w:val="22"/>
          <w:szCs w:val="22"/>
        </w:rPr>
        <w:t>4</w:t>
      </w:r>
      <w:r w:rsidR="00A251CE" w:rsidRPr="002E2DED">
        <w:rPr>
          <w:sz w:val="22"/>
          <w:szCs w:val="22"/>
        </w:rPr>
        <w:t>.4. Підписанням Заяви-Договору Клієнт підтверджує можливість здійснення окремих операцій, визначених цими Правилами, на умовах дистанційного обслуговування через Контакт-центр.</w:t>
      </w:r>
      <w:r w:rsidRPr="002E2DED">
        <w:rPr>
          <w:sz w:val="22"/>
          <w:szCs w:val="22"/>
        </w:rPr>
        <w:t>»</w:t>
      </w:r>
    </w:p>
    <w:p w:rsidR="006A5B80" w:rsidRPr="002E2DED" w:rsidRDefault="006A5B80" w:rsidP="006A5B80">
      <w:pPr>
        <w:spacing w:after="120"/>
        <w:jc w:val="both"/>
        <w:rPr>
          <w:sz w:val="22"/>
          <w:szCs w:val="22"/>
        </w:rPr>
      </w:pPr>
      <w:r w:rsidRPr="002E2DED">
        <w:rPr>
          <w:sz w:val="22"/>
          <w:szCs w:val="22"/>
        </w:rPr>
        <w:t xml:space="preserve">        В зв</w:t>
      </w:r>
      <w:r w:rsidRPr="002E2DED">
        <w:rPr>
          <w:sz w:val="22"/>
          <w:szCs w:val="22"/>
          <w:lang w:val="en-US"/>
        </w:rPr>
        <w:t>’</w:t>
      </w:r>
      <w:r w:rsidRPr="002E2DED">
        <w:rPr>
          <w:sz w:val="22"/>
          <w:szCs w:val="22"/>
          <w:lang w:val="ru-RU"/>
        </w:rPr>
        <w:t>язку цим нумерац</w:t>
      </w:r>
      <w:r w:rsidRPr="002E2DED">
        <w:rPr>
          <w:sz w:val="22"/>
          <w:szCs w:val="22"/>
        </w:rPr>
        <w:t>ія підпунктів 4.4-4.7 Правил змінюється на 4.5 -4.8.</w:t>
      </w:r>
    </w:p>
    <w:p w:rsidR="006A5B80" w:rsidRPr="002E2DED" w:rsidRDefault="006A5B80" w:rsidP="00DA62BB">
      <w:pPr>
        <w:spacing w:after="120"/>
        <w:jc w:val="both"/>
        <w:rPr>
          <w:sz w:val="22"/>
          <w:szCs w:val="22"/>
        </w:rPr>
      </w:pPr>
      <w:r w:rsidRPr="002E2DED">
        <w:rPr>
          <w:sz w:val="22"/>
          <w:szCs w:val="22"/>
        </w:rPr>
        <w:t xml:space="preserve">        4. Пункт 5.4.5 Розділу 5 Правил викла</w:t>
      </w:r>
      <w:r w:rsidR="00EE0D78" w:rsidRPr="002E2DED">
        <w:rPr>
          <w:sz w:val="22"/>
          <w:szCs w:val="22"/>
        </w:rPr>
        <w:t>дається</w:t>
      </w:r>
      <w:r w:rsidRPr="002E2DED">
        <w:rPr>
          <w:sz w:val="22"/>
          <w:szCs w:val="22"/>
        </w:rPr>
        <w:t xml:space="preserve"> в наступній редакції:</w:t>
      </w:r>
    </w:p>
    <w:p w:rsidR="00BB7A7E" w:rsidRPr="002E2DED" w:rsidRDefault="00EE0D78" w:rsidP="00DA62BB">
      <w:pPr>
        <w:spacing w:after="120"/>
        <w:jc w:val="both"/>
        <w:rPr>
          <w:sz w:val="22"/>
          <w:szCs w:val="22"/>
        </w:rPr>
      </w:pPr>
      <w:r w:rsidRPr="002E2DED">
        <w:rPr>
          <w:sz w:val="22"/>
          <w:szCs w:val="22"/>
        </w:rPr>
        <w:t>«</w:t>
      </w:r>
      <w:r w:rsidR="00A251CE" w:rsidRPr="002E2DED">
        <w:rPr>
          <w:sz w:val="22"/>
          <w:szCs w:val="22"/>
        </w:rPr>
        <w:t>5.4.5. Надавати Банку заяви на емісію (випуск/перевипуск) та видачу Додаткових карток. У разі замовлення Додаткових карток Довіреним особам, їх емісія здійснюється за умови проведення Банком ідентифікації та верифікації таких Довірених осіб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Pr="002E2DED">
        <w:rPr>
          <w:sz w:val="22"/>
          <w:szCs w:val="22"/>
        </w:rPr>
        <w:t>»</w:t>
      </w:r>
    </w:p>
    <w:p w:rsidR="00EE0D78" w:rsidRPr="002E2DED" w:rsidRDefault="00EE0D78" w:rsidP="00EE0D78">
      <w:pPr>
        <w:tabs>
          <w:tab w:val="left" w:pos="709"/>
          <w:tab w:val="left" w:pos="851"/>
        </w:tabs>
        <w:adjustRightInd w:val="0"/>
        <w:spacing w:after="120"/>
        <w:ind w:left="425"/>
        <w:jc w:val="both"/>
        <w:rPr>
          <w:sz w:val="22"/>
          <w:szCs w:val="22"/>
        </w:rPr>
      </w:pPr>
      <w:r w:rsidRPr="002E2DED">
        <w:rPr>
          <w:sz w:val="22"/>
          <w:szCs w:val="22"/>
        </w:rPr>
        <w:t xml:space="preserve">  5. Пункт 6.18 Розділу 6 Правил викладається в наступній редакції:</w:t>
      </w:r>
    </w:p>
    <w:p w:rsidR="00A251CE" w:rsidRPr="002E2DED" w:rsidRDefault="00EE0D78" w:rsidP="00DA62BB">
      <w:pPr>
        <w:spacing w:after="120"/>
        <w:jc w:val="both"/>
        <w:rPr>
          <w:sz w:val="22"/>
          <w:szCs w:val="22"/>
        </w:rPr>
      </w:pPr>
      <w:r w:rsidRPr="002E2DED">
        <w:rPr>
          <w:sz w:val="22"/>
          <w:szCs w:val="22"/>
        </w:rPr>
        <w:t>«</w:t>
      </w:r>
      <w:r w:rsidR="00A251CE" w:rsidRPr="002E2DED">
        <w:rPr>
          <w:sz w:val="22"/>
          <w:szCs w:val="22"/>
        </w:rPr>
        <w:t xml:space="preserve">6.18 На виконання доручення, наданого згідно з пунктом </w:t>
      </w:r>
      <w:r w:rsidR="00A251CE" w:rsidRPr="002E2DED">
        <w:rPr>
          <w:sz w:val="22"/>
          <w:szCs w:val="22"/>
        </w:rPr>
        <w:fldChar w:fldCharType="begin"/>
      </w:r>
      <w:r w:rsidR="00A251CE" w:rsidRPr="002E2DED">
        <w:rPr>
          <w:sz w:val="22"/>
          <w:szCs w:val="22"/>
        </w:rPr>
        <w:instrText xml:space="preserve"> REF _Ref465761468 \r \h  \* MERGEFORMAT </w:instrText>
      </w:r>
      <w:r w:rsidR="00A251CE" w:rsidRPr="002E2DED">
        <w:rPr>
          <w:sz w:val="22"/>
          <w:szCs w:val="22"/>
        </w:rPr>
      </w:r>
      <w:r w:rsidR="00A251CE" w:rsidRPr="002E2DED">
        <w:rPr>
          <w:sz w:val="22"/>
          <w:szCs w:val="22"/>
        </w:rPr>
        <w:fldChar w:fldCharType="separate"/>
      </w:r>
      <w:r w:rsidR="00A251CE" w:rsidRPr="002E2DED">
        <w:rPr>
          <w:sz w:val="22"/>
          <w:szCs w:val="22"/>
        </w:rPr>
        <w:t>8.7</w:t>
      </w:r>
      <w:r w:rsidR="00A251CE" w:rsidRPr="002E2DED">
        <w:rPr>
          <w:sz w:val="22"/>
          <w:szCs w:val="22"/>
        </w:rPr>
        <w:fldChar w:fldCharType="end"/>
      </w:r>
      <w:r w:rsidR="00A251CE" w:rsidRPr="002E2DED">
        <w:rPr>
          <w:sz w:val="22"/>
          <w:szCs w:val="22"/>
        </w:rPr>
        <w:t xml:space="preserve"> цих Правил, Банк здійснює договірне списання коштів у сумі  будь-якої заборгованості (строкової та простроченої)  з будь-яких рахунків/Субрахунків Клієнта виключно у межах його власних коштів у такій черговості: спочатку із Субрахунків в гривні у черговості їх відкриття, потім із Субрахунків в іноземній валюті, потім з інших рахунків Клієнта, відкритих в Банку.</w:t>
      </w:r>
      <w:r w:rsidRPr="002E2DED">
        <w:rPr>
          <w:sz w:val="22"/>
          <w:szCs w:val="22"/>
        </w:rPr>
        <w:t>»</w:t>
      </w:r>
    </w:p>
    <w:p w:rsidR="00EE0D78" w:rsidRPr="002E2DED" w:rsidRDefault="00EE0D78" w:rsidP="00DA62BB">
      <w:pPr>
        <w:spacing w:after="120"/>
        <w:jc w:val="both"/>
        <w:rPr>
          <w:sz w:val="22"/>
          <w:szCs w:val="22"/>
        </w:rPr>
      </w:pPr>
      <w:r w:rsidRPr="002E2DED">
        <w:rPr>
          <w:sz w:val="22"/>
          <w:szCs w:val="22"/>
        </w:rPr>
        <w:t xml:space="preserve">         6. Підпункт 8.7.1 пункту 8.7 Розділу 8 Правил викладається в наступній редакції:</w:t>
      </w:r>
    </w:p>
    <w:p w:rsidR="00A251CE" w:rsidRPr="002E2DED" w:rsidRDefault="00EE0D78" w:rsidP="00DA62BB">
      <w:pPr>
        <w:spacing w:after="120"/>
        <w:jc w:val="both"/>
        <w:rPr>
          <w:sz w:val="22"/>
          <w:szCs w:val="22"/>
        </w:rPr>
      </w:pPr>
      <w:r w:rsidRPr="002E2DED">
        <w:rPr>
          <w:sz w:val="22"/>
          <w:szCs w:val="22"/>
        </w:rPr>
        <w:t>«</w:t>
      </w:r>
      <w:r w:rsidR="00A251CE" w:rsidRPr="002E2DED">
        <w:rPr>
          <w:sz w:val="22"/>
          <w:szCs w:val="22"/>
        </w:rPr>
        <w:t>8.7.1 Договірне списання коштів з Рахунку/Субрахунків, а також будь-яких інших рахунків/Субрахунків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Додаткових витрат), у тому числі заборгованості Клієнта перед Банком за виконаними операціями з Картками (на підставі Платіжних повідомлень), Несанкціонованої заборгованості, за Дозволеним овердрафтом та процентами нарахованими за Дозволеним овердрафтом, заборгованості (строкової та простроченої) за кредитними договорами, по сплаті комісійної винагороди, штрафів та пені, будь-яких інших платежів, визначених укладеним Договором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w:t>
      </w:r>
      <w:r w:rsidRPr="002E2DED">
        <w:rPr>
          <w:sz w:val="22"/>
          <w:szCs w:val="22"/>
        </w:rPr>
        <w:t>».</w:t>
      </w:r>
    </w:p>
    <w:p w:rsidR="00EE0D78" w:rsidRPr="002E2DED" w:rsidRDefault="00EE0D78" w:rsidP="00EE0D78">
      <w:pPr>
        <w:spacing w:after="120"/>
        <w:jc w:val="both"/>
        <w:rPr>
          <w:sz w:val="22"/>
          <w:szCs w:val="22"/>
        </w:rPr>
      </w:pPr>
      <w:r w:rsidRPr="002E2DED">
        <w:rPr>
          <w:sz w:val="22"/>
          <w:szCs w:val="22"/>
        </w:rPr>
        <w:t xml:space="preserve">           7. Пункт 8.7 Розділу 8 Правил доповнюється новим підпунктом 8.7.7 наступного змісту:</w:t>
      </w:r>
    </w:p>
    <w:p w:rsidR="00A251CE" w:rsidRPr="002E2DED" w:rsidRDefault="00EE0D78" w:rsidP="00DA62BB">
      <w:pPr>
        <w:spacing w:after="120"/>
        <w:jc w:val="both"/>
        <w:rPr>
          <w:sz w:val="22"/>
          <w:szCs w:val="22"/>
        </w:rPr>
      </w:pPr>
      <w:r w:rsidRPr="002E2DED">
        <w:rPr>
          <w:sz w:val="22"/>
          <w:szCs w:val="22"/>
        </w:rPr>
        <w:t>«</w:t>
      </w:r>
      <w:r w:rsidR="00A251CE" w:rsidRPr="002E2DED">
        <w:rPr>
          <w:sz w:val="22"/>
          <w:szCs w:val="22"/>
        </w:rPr>
        <w:t xml:space="preserve">8.7.7. </w:t>
      </w:r>
      <w:r w:rsidR="00D74095" w:rsidRPr="002E2DED">
        <w:rPr>
          <w:sz w:val="22"/>
          <w:szCs w:val="22"/>
        </w:rPr>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Контакт-центру згідно розділу 10 цих Правил.</w:t>
      </w:r>
      <w:r w:rsidRPr="002E2DED">
        <w:rPr>
          <w:sz w:val="22"/>
          <w:szCs w:val="22"/>
        </w:rPr>
        <w:t>»</w:t>
      </w:r>
    </w:p>
    <w:p w:rsidR="00EE0D78" w:rsidRPr="002E2DED" w:rsidRDefault="00EE0D78" w:rsidP="00DA62BB">
      <w:pPr>
        <w:spacing w:after="120"/>
        <w:jc w:val="both"/>
        <w:rPr>
          <w:sz w:val="22"/>
          <w:szCs w:val="22"/>
        </w:rPr>
      </w:pPr>
      <w:r w:rsidRPr="002E2DED">
        <w:rPr>
          <w:sz w:val="22"/>
          <w:szCs w:val="22"/>
        </w:rPr>
        <w:t xml:space="preserve">            8. Підпункт 9.1.7  Пункту 9.1 Розділу 9 Правил викладається в наступній редакції:</w:t>
      </w:r>
    </w:p>
    <w:p w:rsidR="002F5230" w:rsidRPr="002E2DED" w:rsidRDefault="00EE0D78" w:rsidP="00DA62BB">
      <w:pPr>
        <w:spacing w:after="120"/>
        <w:jc w:val="both"/>
        <w:rPr>
          <w:sz w:val="22"/>
          <w:szCs w:val="22"/>
        </w:rPr>
      </w:pPr>
      <w:r w:rsidRPr="002E2DED">
        <w:rPr>
          <w:sz w:val="22"/>
          <w:szCs w:val="22"/>
        </w:rPr>
        <w:t>«</w:t>
      </w:r>
      <w:r w:rsidR="002F5230" w:rsidRPr="002E2DED">
        <w:rPr>
          <w:sz w:val="22"/>
          <w:szCs w:val="22"/>
        </w:rPr>
        <w:t xml:space="preserve">9.1.7. </w:t>
      </w:r>
      <w:r w:rsidR="00A251CE" w:rsidRPr="002E2DED">
        <w:rPr>
          <w:sz w:val="22"/>
          <w:szCs w:val="22"/>
        </w:rPr>
        <w:t xml:space="preserve">Надавати заяви про випуск Картки на новий Строк дії у разі, якщо Банк не здійснив такий випуск згідно з підпунктом </w:t>
      </w:r>
      <w:r w:rsidR="00A251CE" w:rsidRPr="002E2DED">
        <w:rPr>
          <w:sz w:val="22"/>
          <w:szCs w:val="22"/>
        </w:rPr>
        <w:fldChar w:fldCharType="begin"/>
      </w:r>
      <w:r w:rsidR="00A251CE" w:rsidRPr="002E2DED">
        <w:rPr>
          <w:sz w:val="22"/>
          <w:szCs w:val="22"/>
        </w:rPr>
        <w:instrText xml:space="preserve"> REF _Ref469491348 \r \h  \* MERGEFORMAT </w:instrText>
      </w:r>
      <w:r w:rsidR="00A251CE" w:rsidRPr="002E2DED">
        <w:rPr>
          <w:sz w:val="22"/>
          <w:szCs w:val="22"/>
        </w:rPr>
      </w:r>
      <w:r w:rsidR="00A251CE" w:rsidRPr="002E2DED">
        <w:rPr>
          <w:sz w:val="22"/>
          <w:szCs w:val="22"/>
        </w:rPr>
        <w:fldChar w:fldCharType="separate"/>
      </w:r>
      <w:r w:rsidR="00A251CE" w:rsidRPr="002E2DED">
        <w:rPr>
          <w:sz w:val="22"/>
          <w:szCs w:val="22"/>
        </w:rPr>
        <w:t>5.3.30</w:t>
      </w:r>
      <w:r w:rsidR="00A251CE" w:rsidRPr="002E2DED">
        <w:rPr>
          <w:sz w:val="22"/>
          <w:szCs w:val="22"/>
        </w:rPr>
        <w:fldChar w:fldCharType="end"/>
      </w:r>
      <w:r w:rsidR="00A251CE" w:rsidRPr="002E2DED">
        <w:rPr>
          <w:sz w:val="22"/>
          <w:szCs w:val="22"/>
        </w:rPr>
        <w:t xml:space="preserve"> цих Правил. Додаткові Картки на ім’я Клієнта Банк випускає за заявою Клієнта. Додаткові Картки на ім’я Довіреної особи Банк випускає виключно за письмовою заявою Клієнта.</w:t>
      </w:r>
      <w:r w:rsidRPr="002E2DED">
        <w:rPr>
          <w:sz w:val="22"/>
          <w:szCs w:val="22"/>
        </w:rPr>
        <w:t>»</w:t>
      </w:r>
    </w:p>
    <w:p w:rsidR="002C5E11" w:rsidRPr="002E2DED" w:rsidRDefault="002C5E11" w:rsidP="00DA62BB">
      <w:pPr>
        <w:spacing w:after="120"/>
        <w:jc w:val="both"/>
        <w:rPr>
          <w:sz w:val="22"/>
          <w:szCs w:val="22"/>
        </w:rPr>
      </w:pPr>
      <w:r w:rsidRPr="002E2DED">
        <w:rPr>
          <w:sz w:val="22"/>
          <w:szCs w:val="22"/>
        </w:rPr>
        <w:t xml:space="preserve">           9. Правила доповнюються новим розділом 10 наступного змісту:</w:t>
      </w:r>
    </w:p>
    <w:p w:rsidR="002F5230" w:rsidRPr="002E2DED" w:rsidRDefault="002F5230" w:rsidP="002F5230">
      <w:pPr>
        <w:ind w:left="450"/>
        <w:jc w:val="center"/>
        <w:rPr>
          <w:sz w:val="22"/>
          <w:szCs w:val="22"/>
        </w:rPr>
      </w:pPr>
      <w:r w:rsidRPr="002E2DED">
        <w:rPr>
          <w:sz w:val="22"/>
          <w:szCs w:val="22"/>
        </w:rPr>
        <w:t>10. Дистанційне обслуговування через Контакт-центр</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Клієнт доручає Банку на підставі цих Правил, укладеного Договору та звернення до Контакт-центру здійснювати банківські операції на умовах дистанційного обслуговування.</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 xml:space="preserve">Підписуючи Заяву-Договір та/або Заяву-договір банківського рахунка Клієнт доручає Банку відкрити Депозитний рахунок за умови подальшого звернення Клієнта до Контакт-центру для вибору умов розміщення депозиту. Клієнт погоджується, що обслуговування депозитного рахунку здійснюється на умовах Правил надання послуг на відкриття та обслуговування вкладних (депозитних) рахунків та поточних рахунків фізичних осіб в АБ «УКРГАЗБАНК».  </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Дистанційне обслуговування через Контакт центр здійснюється за умови наявності у Клієнта відкритого Рахунку або поточного рахунку.</w:t>
      </w:r>
    </w:p>
    <w:p w:rsidR="00D74095" w:rsidRPr="002E2DED" w:rsidRDefault="00D74095" w:rsidP="00D74095">
      <w:pPr>
        <w:numPr>
          <w:ilvl w:val="1"/>
          <w:numId w:val="5"/>
        </w:numPr>
        <w:autoSpaceDE w:val="0"/>
        <w:autoSpaceDN w:val="0"/>
        <w:ind w:left="0" w:firstLine="0"/>
        <w:jc w:val="both"/>
        <w:rPr>
          <w:sz w:val="22"/>
          <w:szCs w:val="22"/>
        </w:rPr>
      </w:pPr>
      <w:r w:rsidRPr="002E2DED">
        <w:rPr>
          <w:sz w:val="22"/>
          <w:szCs w:val="22"/>
        </w:rPr>
        <w:t>Клієнт доручає Банку здійснення наступних банківських операцій між власними рахунками відкритими у Банку на умовах дистанційного обслуговування:</w:t>
      </w:r>
    </w:p>
    <w:p w:rsidR="00D74095" w:rsidRPr="002E2DED" w:rsidRDefault="00D74095" w:rsidP="00D74095">
      <w:pPr>
        <w:numPr>
          <w:ilvl w:val="2"/>
          <w:numId w:val="5"/>
        </w:numPr>
        <w:autoSpaceDE w:val="0"/>
        <w:autoSpaceDN w:val="0"/>
        <w:spacing w:line="200" w:lineRule="atLeast"/>
        <w:ind w:left="0" w:firstLine="0"/>
        <w:jc w:val="both"/>
        <w:rPr>
          <w:sz w:val="22"/>
          <w:szCs w:val="22"/>
        </w:rPr>
      </w:pPr>
      <w:r w:rsidRPr="002E2DED">
        <w:rPr>
          <w:sz w:val="22"/>
          <w:szCs w:val="22"/>
        </w:rPr>
        <w:t>Надання Банку доручення щодо здійснення переказу коштів з Рахунку на власний Депозитний рахунок;</w:t>
      </w:r>
    </w:p>
    <w:p w:rsidR="00D74095" w:rsidRPr="002E2DED" w:rsidRDefault="00D74095" w:rsidP="00D74095">
      <w:pPr>
        <w:numPr>
          <w:ilvl w:val="2"/>
          <w:numId w:val="5"/>
        </w:numPr>
        <w:autoSpaceDE w:val="0"/>
        <w:autoSpaceDN w:val="0"/>
        <w:spacing w:line="200" w:lineRule="atLeast"/>
        <w:ind w:left="0" w:firstLine="0"/>
        <w:jc w:val="both"/>
        <w:rPr>
          <w:sz w:val="22"/>
          <w:szCs w:val="22"/>
        </w:rPr>
      </w:pPr>
      <w:r w:rsidRPr="002E2DED">
        <w:rPr>
          <w:sz w:val="22"/>
          <w:szCs w:val="22"/>
        </w:rPr>
        <w:t>Надання Банку доручення щодо здійснення переказу коштів з власного поточного рахунку на Рахунок;</w:t>
      </w:r>
    </w:p>
    <w:p w:rsidR="00D74095" w:rsidRPr="002E2DED" w:rsidRDefault="00D74095" w:rsidP="00D74095">
      <w:pPr>
        <w:numPr>
          <w:ilvl w:val="2"/>
          <w:numId w:val="5"/>
        </w:numPr>
        <w:autoSpaceDE w:val="0"/>
        <w:autoSpaceDN w:val="0"/>
        <w:spacing w:line="200" w:lineRule="atLeast"/>
        <w:ind w:left="0" w:firstLine="0"/>
        <w:jc w:val="both"/>
        <w:rPr>
          <w:sz w:val="22"/>
          <w:szCs w:val="22"/>
        </w:rPr>
      </w:pPr>
      <w:r w:rsidRPr="002E2DED">
        <w:rPr>
          <w:sz w:val="22"/>
          <w:szCs w:val="22"/>
        </w:rPr>
        <w:t>Надання Банку доручення щодо відкриття Депозитного рахунку;</w:t>
      </w:r>
    </w:p>
    <w:p w:rsidR="00D74095" w:rsidRPr="002E2DED" w:rsidRDefault="00D74095" w:rsidP="00D74095">
      <w:pPr>
        <w:numPr>
          <w:ilvl w:val="2"/>
          <w:numId w:val="5"/>
        </w:numPr>
        <w:autoSpaceDE w:val="0"/>
        <w:autoSpaceDN w:val="0"/>
        <w:spacing w:line="200" w:lineRule="atLeast"/>
        <w:ind w:left="0" w:firstLine="0"/>
        <w:jc w:val="both"/>
        <w:rPr>
          <w:sz w:val="22"/>
          <w:szCs w:val="22"/>
        </w:rPr>
      </w:pPr>
      <w:r w:rsidRPr="002E2DED">
        <w:rPr>
          <w:sz w:val="22"/>
          <w:szCs w:val="22"/>
        </w:rPr>
        <w:t>Надання Банку доручення на здійснення регулярного переказу коштів з Рахунка на Рахунок відкритий на умовах, визначених Пакетом «</w:t>
      </w:r>
      <w:r w:rsidRPr="002E2DED">
        <w:rPr>
          <w:sz w:val="22"/>
          <w:szCs w:val="22"/>
          <w:lang w:val="en-US"/>
        </w:rPr>
        <w:t>Pro</w:t>
      </w:r>
      <w:r w:rsidRPr="002E2DED">
        <w:rPr>
          <w:sz w:val="22"/>
          <w:szCs w:val="22"/>
        </w:rPr>
        <w:t>-запас»;</w:t>
      </w:r>
    </w:p>
    <w:p w:rsidR="00D74095" w:rsidRPr="002E2DED" w:rsidRDefault="00D74095" w:rsidP="00D74095">
      <w:pPr>
        <w:numPr>
          <w:ilvl w:val="2"/>
          <w:numId w:val="5"/>
        </w:numPr>
        <w:autoSpaceDE w:val="0"/>
        <w:autoSpaceDN w:val="0"/>
        <w:spacing w:line="200" w:lineRule="atLeast"/>
        <w:ind w:left="0" w:firstLine="0"/>
        <w:jc w:val="both"/>
        <w:rPr>
          <w:sz w:val="22"/>
          <w:szCs w:val="22"/>
        </w:rPr>
      </w:pPr>
      <w:r w:rsidRPr="002E2DED">
        <w:rPr>
          <w:sz w:val="22"/>
          <w:szCs w:val="22"/>
        </w:rPr>
        <w:t>замовлення Додаткової картки до Рахунку на своє ім’я.</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 xml:space="preserve"> Банківські операції визначені в </w:t>
      </w:r>
      <w:proofErr w:type="spellStart"/>
      <w:r w:rsidRPr="002E2DED">
        <w:rPr>
          <w:sz w:val="22"/>
          <w:szCs w:val="22"/>
        </w:rPr>
        <w:t>п.п</w:t>
      </w:r>
      <w:proofErr w:type="spellEnd"/>
      <w:r w:rsidRPr="002E2DED">
        <w:rPr>
          <w:sz w:val="22"/>
          <w:szCs w:val="22"/>
        </w:rPr>
        <w:t>. 10.4 цих Правил через Контакт-центр здійснюються на підставі усного розпорядження Клієнта, отриманого оператором Контакт-центру.</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 xml:space="preserve">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2C5E11" w:rsidRPr="002E2DED">
        <w:rPr>
          <w:sz w:val="22"/>
          <w:szCs w:val="22"/>
        </w:rPr>
        <w:t>.</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Послуги в межах дистанційного обслуговування через Контакт-центр надаються виключно після успішного проходження процедури ідентифікації у Контакт-центрі. Будь-яку особу, що використала ідентифікаційні дані Клієнта та пройшла успіш</w:t>
      </w:r>
      <w:r w:rsidR="002E2DED">
        <w:rPr>
          <w:sz w:val="22"/>
          <w:szCs w:val="22"/>
        </w:rPr>
        <w:t>н</w:t>
      </w:r>
      <w:r w:rsidRPr="002E2DED">
        <w:rPr>
          <w:sz w:val="22"/>
          <w:szCs w:val="22"/>
        </w:rPr>
        <w:t xml:space="preserve">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 xml:space="preserve">Банк зобов’язується виконувати доручення Клієнта про здійснення операцій в межах дистанційного обслуговування через Контаткт-центр після успішного проходження ідентифікації та за умови наявності коштів на Рахунку або на поточному рахунку в т.ч. для сплати комісії Банку за надання послуг згідно діючих Тарифів. </w:t>
      </w:r>
    </w:p>
    <w:p w:rsidR="00D74095" w:rsidRPr="002E2DED" w:rsidRDefault="00D74095" w:rsidP="00D74095">
      <w:pPr>
        <w:numPr>
          <w:ilvl w:val="1"/>
          <w:numId w:val="5"/>
        </w:numPr>
        <w:autoSpaceDE w:val="0"/>
        <w:autoSpaceDN w:val="0"/>
        <w:spacing w:line="200" w:lineRule="atLeast"/>
        <w:ind w:left="0" w:firstLine="0"/>
        <w:jc w:val="both"/>
        <w:rPr>
          <w:sz w:val="22"/>
          <w:szCs w:val="22"/>
        </w:rPr>
      </w:pPr>
      <w:r w:rsidRPr="002E2DED">
        <w:rPr>
          <w:sz w:val="22"/>
          <w:szCs w:val="22"/>
        </w:rPr>
        <w:t>На підтвердження здійснення банківської операції Банком направляється СМС-повідомлення на основний Номер мобільного телефону Клієнта, що був зазначеним Клієнтом при встановленні ділових відносин.</w:t>
      </w:r>
    </w:p>
    <w:p w:rsidR="00D74095" w:rsidRPr="002E2DED" w:rsidRDefault="00D74095" w:rsidP="00D74095">
      <w:pPr>
        <w:autoSpaceDE w:val="0"/>
        <w:autoSpaceDN w:val="0"/>
        <w:spacing w:line="200" w:lineRule="atLeast"/>
        <w:jc w:val="both"/>
        <w:rPr>
          <w:sz w:val="22"/>
          <w:szCs w:val="22"/>
        </w:rPr>
      </w:pPr>
      <w:r w:rsidRPr="002E2DED">
        <w:rPr>
          <w:sz w:val="22"/>
          <w:szCs w:val="22"/>
        </w:rPr>
        <w:t>10.10 Умови виконання доручення на відкриття Депозитного рахунку на умовах дистанційного обслуговування:</w:t>
      </w:r>
    </w:p>
    <w:p w:rsidR="00D74095" w:rsidRPr="002E2DED" w:rsidRDefault="00D74095" w:rsidP="00D74095">
      <w:pPr>
        <w:autoSpaceDE w:val="0"/>
        <w:autoSpaceDN w:val="0"/>
        <w:spacing w:line="200" w:lineRule="atLeast"/>
        <w:jc w:val="both"/>
        <w:rPr>
          <w:sz w:val="22"/>
          <w:szCs w:val="22"/>
        </w:rPr>
      </w:pPr>
      <w:r w:rsidRPr="002E2DED">
        <w:rPr>
          <w:sz w:val="22"/>
          <w:szCs w:val="22"/>
        </w:rPr>
        <w:t>10.10.1 Доручення Клієнта на відкриття Депозитного рахунку передбачає:</w:t>
      </w:r>
    </w:p>
    <w:p w:rsidR="00D74095" w:rsidRPr="002E2DED" w:rsidRDefault="00D74095" w:rsidP="00D74095">
      <w:pPr>
        <w:autoSpaceDE w:val="0"/>
        <w:autoSpaceDN w:val="0"/>
        <w:spacing w:line="200" w:lineRule="atLeast"/>
        <w:ind w:left="426"/>
        <w:jc w:val="both"/>
        <w:rPr>
          <w:sz w:val="22"/>
          <w:szCs w:val="22"/>
        </w:rPr>
      </w:pPr>
      <w:r w:rsidRPr="002E2DED">
        <w:rPr>
          <w:sz w:val="22"/>
          <w:szCs w:val="22"/>
        </w:rPr>
        <w:t xml:space="preserve">- 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w:t>
      </w:r>
      <w:r w:rsidRPr="002E2DED">
        <w:rPr>
          <w:noProof/>
          <w:sz w:val="22"/>
          <w:szCs w:val="22"/>
        </w:rPr>
        <w:t xml:space="preserve">вибір Рахунку або поточного рахунку для повернення Депозиту </w:t>
      </w:r>
      <w:r w:rsidRPr="002E2DED">
        <w:t>та нарахованих процентів</w:t>
      </w:r>
      <w:r w:rsidRPr="002E2DED">
        <w:rPr>
          <w:noProof/>
          <w:sz w:val="22"/>
          <w:szCs w:val="22"/>
        </w:rPr>
        <w:t>;</w:t>
      </w:r>
    </w:p>
    <w:p w:rsidR="00D74095" w:rsidRPr="002E2DED" w:rsidRDefault="00D74095" w:rsidP="00D74095">
      <w:pPr>
        <w:autoSpaceDE w:val="0"/>
        <w:autoSpaceDN w:val="0"/>
        <w:spacing w:line="200" w:lineRule="atLeast"/>
        <w:ind w:left="567" w:hanging="141"/>
        <w:jc w:val="both"/>
        <w:rPr>
          <w:sz w:val="22"/>
          <w:szCs w:val="22"/>
        </w:rPr>
      </w:pPr>
      <w:r w:rsidRPr="002E2DED">
        <w:rPr>
          <w:sz w:val="22"/>
          <w:szCs w:val="22"/>
        </w:rPr>
        <w:t xml:space="preserve">- наявність у Клієнта відкритого Рахунку у валюті, яка відповідає валюті Депозитного рахунку, що відкривається; </w:t>
      </w:r>
    </w:p>
    <w:p w:rsidR="00D74095" w:rsidRPr="002E2DED" w:rsidRDefault="00D74095" w:rsidP="00D74095">
      <w:pPr>
        <w:autoSpaceDE w:val="0"/>
        <w:autoSpaceDN w:val="0"/>
        <w:spacing w:line="200" w:lineRule="atLeast"/>
        <w:ind w:left="567" w:hanging="141"/>
        <w:jc w:val="both"/>
        <w:rPr>
          <w:sz w:val="22"/>
          <w:szCs w:val="22"/>
        </w:rPr>
      </w:pPr>
      <w:r w:rsidRPr="002E2DED">
        <w:rPr>
          <w:sz w:val="22"/>
          <w:szCs w:val="22"/>
        </w:rPr>
        <w:t>- наявність на Рахунку грошових коштів у сумі, достатній для розміщення депозиту на Депозитному рахунку на обраних Клієнтом умовах розміщення;</w:t>
      </w:r>
    </w:p>
    <w:p w:rsidR="00D74095" w:rsidRPr="002E2DED" w:rsidRDefault="00D74095" w:rsidP="00D74095">
      <w:pPr>
        <w:autoSpaceDE w:val="0"/>
        <w:autoSpaceDN w:val="0"/>
        <w:spacing w:line="200" w:lineRule="atLeast"/>
        <w:ind w:left="567" w:hanging="141"/>
        <w:jc w:val="both"/>
        <w:rPr>
          <w:sz w:val="22"/>
          <w:szCs w:val="22"/>
        </w:rPr>
      </w:pPr>
      <w:r w:rsidRPr="002E2DED">
        <w:rPr>
          <w:sz w:val="22"/>
          <w:szCs w:val="22"/>
        </w:rPr>
        <w:t xml:space="preserve">- погодження Клієнта з умовами обслуговування Депозитного рахунку згідно Правил надання послуг на відкриття та обслуговування вкладних (депозитних) рахунків та поточних рахунків фізичних осіб в АБ «УКРГАЗБАНК»; </w:t>
      </w:r>
    </w:p>
    <w:p w:rsidR="00D74095" w:rsidRPr="002E2DED" w:rsidRDefault="00D74095" w:rsidP="00D74095">
      <w:pPr>
        <w:autoSpaceDE w:val="0"/>
        <w:autoSpaceDN w:val="0"/>
        <w:spacing w:line="200" w:lineRule="atLeast"/>
        <w:ind w:left="567" w:hanging="141"/>
        <w:jc w:val="both"/>
        <w:rPr>
          <w:sz w:val="22"/>
          <w:szCs w:val="22"/>
        </w:rPr>
      </w:pPr>
      <w:r w:rsidRPr="002E2DED">
        <w:rPr>
          <w:sz w:val="22"/>
          <w:szCs w:val="22"/>
        </w:rPr>
        <w:t>- ознайомлення з довідкою про систему гарантування вкладів фізичних осіб (в мережі Інтернет на сайті банку за адресою: https://www.ukrgasbank.com/private/deposits/guarantee/ або на сайті Фонду за адресою: http://www.fg.gov.ua/dlia-vkladnykiv/umovy-harantuvannia).</w:t>
      </w:r>
    </w:p>
    <w:p w:rsidR="00D74095" w:rsidRPr="002E2DED" w:rsidRDefault="00D74095" w:rsidP="00D74095">
      <w:pPr>
        <w:autoSpaceDE w:val="0"/>
        <w:autoSpaceDN w:val="0"/>
        <w:spacing w:line="200" w:lineRule="atLeast"/>
        <w:jc w:val="both"/>
        <w:rPr>
          <w:sz w:val="22"/>
          <w:szCs w:val="22"/>
        </w:rPr>
      </w:pPr>
      <w:r w:rsidRPr="002E2DED">
        <w:rPr>
          <w:sz w:val="22"/>
          <w:szCs w:val="22"/>
        </w:rPr>
        <w:t xml:space="preserve">10.10.2 Відкриття Депозитного рахунку на умовах дистанційного обслуговування здійснюється на підставі Заяви-договору та/або Заяви-договору банківського рахунка на умовах Правил надання послуг на відкриття та обслуговування вкладних (депозитних) рахунків та поточних рахунків фізичних осіб в АБ «УКРГАЗБАНК». Для відкриття Депозитного рахунку, Клієнт після успішного проходження Клієнтом процедури ідентифікації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в </w:t>
      </w:r>
      <w:proofErr w:type="spellStart"/>
      <w:r w:rsidRPr="002E2DED">
        <w:rPr>
          <w:sz w:val="22"/>
          <w:szCs w:val="22"/>
        </w:rPr>
        <w:t>п.п</w:t>
      </w:r>
      <w:proofErr w:type="spellEnd"/>
      <w:r w:rsidRPr="002E2DED">
        <w:rPr>
          <w:sz w:val="22"/>
          <w:szCs w:val="22"/>
        </w:rPr>
        <w:t>. 10.10.1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номер мобільного телефону Клієнта СМС-повідомлення, в якому зазначається сума, валюта, процентна ставка, строк та дата повернення Депозиту, який розміщується Клієнтом.</w:t>
      </w:r>
    </w:p>
    <w:p w:rsidR="00D74095" w:rsidRPr="002E2DED" w:rsidRDefault="00D74095" w:rsidP="00D74095">
      <w:pPr>
        <w:autoSpaceDE w:val="0"/>
        <w:autoSpaceDN w:val="0"/>
        <w:spacing w:line="200" w:lineRule="atLeast"/>
        <w:jc w:val="both"/>
        <w:rPr>
          <w:sz w:val="22"/>
          <w:szCs w:val="22"/>
        </w:rPr>
      </w:pPr>
      <w:r w:rsidRPr="002E2DED">
        <w:rPr>
          <w:sz w:val="22"/>
          <w:szCs w:val="22"/>
        </w:rPr>
        <w:t>10.10.3 Направлення СМС-повідомленя на основний Номер мобільного 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w:t>
      </w:r>
    </w:p>
    <w:p w:rsidR="00D74095" w:rsidRPr="002E2DED" w:rsidRDefault="00D74095" w:rsidP="00D74095">
      <w:pPr>
        <w:autoSpaceDE w:val="0"/>
        <w:autoSpaceDN w:val="0"/>
        <w:spacing w:line="200" w:lineRule="atLeast"/>
        <w:rPr>
          <w:sz w:val="22"/>
          <w:szCs w:val="22"/>
        </w:rPr>
      </w:pPr>
      <w:r w:rsidRPr="002E2DED">
        <w:rPr>
          <w:sz w:val="22"/>
          <w:szCs w:val="22"/>
        </w:rPr>
        <w:t>10.11 Умови виконання доручення Клієнта в порядку договірного списання коштів з власного Рахунку на Депозитний рахунок та/або на інший власний Рахунок/Субрахунок.</w:t>
      </w:r>
    </w:p>
    <w:p w:rsidR="00D74095" w:rsidRPr="002E2DED" w:rsidRDefault="00D74095" w:rsidP="00D74095">
      <w:pPr>
        <w:autoSpaceDE w:val="0"/>
        <w:autoSpaceDN w:val="0"/>
        <w:spacing w:line="200" w:lineRule="atLeast"/>
        <w:jc w:val="both"/>
        <w:rPr>
          <w:sz w:val="22"/>
          <w:szCs w:val="22"/>
        </w:rPr>
      </w:pPr>
      <w:r w:rsidRPr="002E2DED">
        <w:rPr>
          <w:sz w:val="22"/>
          <w:szCs w:val="22"/>
        </w:rPr>
        <w:t>10.11.1</w:t>
      </w:r>
      <w:r w:rsidRPr="002E2DED">
        <w:rPr>
          <w:sz w:val="22"/>
          <w:szCs w:val="22"/>
        </w:rPr>
        <w:tab/>
        <w:t>Доручення Клієнта в порядку договірного списання коштів з Рахунку передбачає:</w:t>
      </w:r>
    </w:p>
    <w:p w:rsidR="00D74095" w:rsidRPr="002E2DED" w:rsidRDefault="00D74095" w:rsidP="00D74095">
      <w:pPr>
        <w:autoSpaceDE w:val="0"/>
        <w:autoSpaceDN w:val="0"/>
        <w:spacing w:line="200" w:lineRule="atLeast"/>
        <w:ind w:left="709" w:hanging="142"/>
        <w:jc w:val="both"/>
        <w:rPr>
          <w:sz w:val="22"/>
          <w:szCs w:val="22"/>
        </w:rPr>
      </w:pPr>
      <w:r w:rsidRPr="002E2DED">
        <w:rPr>
          <w:sz w:val="22"/>
          <w:szCs w:val="22"/>
        </w:rPr>
        <w:t>-</w:t>
      </w:r>
      <w:r w:rsidRPr="002E2DED">
        <w:rPr>
          <w:sz w:val="22"/>
          <w:szCs w:val="22"/>
        </w:rPr>
        <w:tab/>
        <w:t xml:space="preserve"> вибір Рахунку, відкритого в Банку, з якого буде відбуватись перерахування грошових коштів; </w:t>
      </w:r>
    </w:p>
    <w:p w:rsidR="00D74095" w:rsidRPr="002E2DED" w:rsidRDefault="00D74095" w:rsidP="00D74095">
      <w:pPr>
        <w:autoSpaceDE w:val="0"/>
        <w:autoSpaceDN w:val="0"/>
        <w:spacing w:line="200" w:lineRule="atLeast"/>
        <w:ind w:left="709" w:hanging="142"/>
        <w:jc w:val="both"/>
        <w:rPr>
          <w:sz w:val="22"/>
          <w:szCs w:val="22"/>
        </w:rPr>
      </w:pPr>
      <w:r w:rsidRPr="002E2DED">
        <w:rPr>
          <w:sz w:val="22"/>
          <w:szCs w:val="22"/>
        </w:rPr>
        <w:t>-</w:t>
      </w:r>
      <w:r w:rsidRPr="002E2DED">
        <w:rPr>
          <w:sz w:val="22"/>
          <w:szCs w:val="22"/>
        </w:rPr>
        <w:tab/>
        <w:t>вибір Депозитного рахунку та/або іншого власного Рахунку/Субрахунку, на який здійснюватиметься зарахування грошових коштів;</w:t>
      </w:r>
    </w:p>
    <w:p w:rsidR="00D74095" w:rsidRPr="002E2DED" w:rsidRDefault="00D74095" w:rsidP="00D74095">
      <w:pPr>
        <w:autoSpaceDE w:val="0"/>
        <w:autoSpaceDN w:val="0"/>
        <w:spacing w:line="200" w:lineRule="atLeast"/>
        <w:ind w:left="709" w:hanging="142"/>
        <w:jc w:val="both"/>
        <w:rPr>
          <w:sz w:val="22"/>
          <w:szCs w:val="22"/>
        </w:rPr>
      </w:pPr>
      <w:r w:rsidRPr="002E2DED">
        <w:rPr>
          <w:sz w:val="22"/>
          <w:szCs w:val="22"/>
        </w:rPr>
        <w:t>-</w:t>
      </w:r>
      <w:r w:rsidRPr="002E2DED">
        <w:rPr>
          <w:sz w:val="22"/>
          <w:szCs w:val="22"/>
        </w:rPr>
        <w:tab/>
        <w:t>зазначення необхідної суми грошових коштів для переказу;</w:t>
      </w:r>
    </w:p>
    <w:p w:rsidR="00D74095" w:rsidRPr="002E2DED" w:rsidRDefault="00D74095" w:rsidP="00D74095">
      <w:pPr>
        <w:autoSpaceDE w:val="0"/>
        <w:autoSpaceDN w:val="0"/>
        <w:spacing w:line="200" w:lineRule="atLeast"/>
        <w:ind w:left="709" w:hanging="142"/>
        <w:jc w:val="both"/>
        <w:rPr>
          <w:sz w:val="22"/>
          <w:szCs w:val="22"/>
        </w:rPr>
      </w:pPr>
      <w:r w:rsidRPr="002E2DED">
        <w:rPr>
          <w:sz w:val="22"/>
          <w:szCs w:val="22"/>
        </w:rPr>
        <w:t>-</w:t>
      </w:r>
      <w:r w:rsidRPr="002E2DED">
        <w:rPr>
          <w:sz w:val="22"/>
          <w:szCs w:val="22"/>
        </w:rPr>
        <w:tab/>
        <w:t>наявність на Рахунку грошових коштів у сумі, достатній для переказу.</w:t>
      </w:r>
    </w:p>
    <w:p w:rsidR="00D74095" w:rsidRPr="002E2DED" w:rsidRDefault="00D74095" w:rsidP="00D74095">
      <w:pPr>
        <w:autoSpaceDE w:val="0"/>
        <w:autoSpaceDN w:val="0"/>
        <w:spacing w:line="200" w:lineRule="atLeast"/>
        <w:jc w:val="both"/>
        <w:rPr>
          <w:sz w:val="22"/>
          <w:szCs w:val="22"/>
        </w:rPr>
      </w:pPr>
      <w:r w:rsidRPr="002E2DED">
        <w:rPr>
          <w:sz w:val="22"/>
          <w:szCs w:val="22"/>
        </w:rPr>
        <w:t>10.11.2</w:t>
      </w:r>
      <w:r w:rsidRPr="002E2DED">
        <w:rPr>
          <w:sz w:val="22"/>
          <w:szCs w:val="22"/>
        </w:rPr>
        <w:tab/>
        <w:t xml:space="preserve">Переказ коштів з Рахунку в межах дистанційного обслуговування здійснюється з використанням засобу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номер мобільного телефону Клієнта СМС-повідомлення, в якому зазначається сума та валюта операції. </w:t>
      </w:r>
    </w:p>
    <w:p w:rsidR="002F5230" w:rsidRPr="002E2DED" w:rsidRDefault="00D74095" w:rsidP="00D74095">
      <w:pPr>
        <w:spacing w:after="120"/>
        <w:jc w:val="both"/>
        <w:rPr>
          <w:sz w:val="22"/>
          <w:szCs w:val="22"/>
        </w:rPr>
      </w:pPr>
      <w:r w:rsidRPr="002E2DED">
        <w:rPr>
          <w:sz w:val="22"/>
          <w:szCs w:val="22"/>
        </w:rPr>
        <w:t>10.11.3</w:t>
      </w:r>
      <w:r w:rsidRPr="002E2DED">
        <w:rPr>
          <w:sz w:val="22"/>
          <w:szCs w:val="22"/>
        </w:rPr>
        <w:tab/>
        <w:t>Направлення СМС-повідомлення на основний Номер мобільного телефону Клієнта з інформацією про зарахування коштів свідчить про виконання доручення на переказ коштів на рахунок Клієнта.</w:t>
      </w:r>
    </w:p>
    <w:p w:rsidR="00502BEA" w:rsidRPr="002E2DED" w:rsidRDefault="00502BEA" w:rsidP="00502BEA">
      <w:pPr>
        <w:spacing w:after="120"/>
        <w:jc w:val="both"/>
        <w:rPr>
          <w:sz w:val="22"/>
          <w:szCs w:val="22"/>
        </w:rPr>
      </w:pPr>
      <w:r w:rsidRPr="002E2DED">
        <w:rPr>
          <w:sz w:val="22"/>
          <w:szCs w:val="22"/>
        </w:rPr>
        <w:t xml:space="preserve">        В </w:t>
      </w:r>
      <w:proofErr w:type="spellStart"/>
      <w:r w:rsidRPr="002E2DED">
        <w:rPr>
          <w:sz w:val="22"/>
          <w:szCs w:val="22"/>
        </w:rPr>
        <w:t>зв</w:t>
      </w:r>
      <w:proofErr w:type="spellEnd"/>
      <w:r w:rsidRPr="002E2DED">
        <w:rPr>
          <w:sz w:val="22"/>
          <w:szCs w:val="22"/>
          <w:lang w:val="en-US"/>
        </w:rPr>
        <w:t>’</w:t>
      </w:r>
      <w:proofErr w:type="spellStart"/>
      <w:r w:rsidRPr="002E2DED">
        <w:rPr>
          <w:sz w:val="22"/>
          <w:szCs w:val="22"/>
          <w:lang w:val="ru-RU"/>
        </w:rPr>
        <w:t>язку</w:t>
      </w:r>
      <w:proofErr w:type="spellEnd"/>
      <w:r w:rsidRPr="002E2DED">
        <w:rPr>
          <w:sz w:val="22"/>
          <w:szCs w:val="22"/>
          <w:lang w:val="ru-RU"/>
        </w:rPr>
        <w:t xml:space="preserve"> </w:t>
      </w:r>
      <w:proofErr w:type="spellStart"/>
      <w:r w:rsidRPr="002E2DED">
        <w:rPr>
          <w:sz w:val="22"/>
          <w:szCs w:val="22"/>
          <w:lang w:val="ru-RU"/>
        </w:rPr>
        <w:t>цим</w:t>
      </w:r>
      <w:proofErr w:type="spellEnd"/>
      <w:r w:rsidRPr="002E2DED">
        <w:rPr>
          <w:sz w:val="22"/>
          <w:szCs w:val="22"/>
          <w:lang w:val="ru-RU"/>
        </w:rPr>
        <w:t xml:space="preserve"> </w:t>
      </w:r>
      <w:proofErr w:type="spellStart"/>
      <w:r w:rsidRPr="002E2DED">
        <w:rPr>
          <w:sz w:val="22"/>
          <w:szCs w:val="22"/>
          <w:lang w:val="ru-RU"/>
        </w:rPr>
        <w:t>нумерац</w:t>
      </w:r>
      <w:r w:rsidRPr="002E2DED">
        <w:rPr>
          <w:sz w:val="22"/>
          <w:szCs w:val="22"/>
        </w:rPr>
        <w:t>ія</w:t>
      </w:r>
      <w:proofErr w:type="spellEnd"/>
      <w:r w:rsidRPr="002E2DED">
        <w:rPr>
          <w:sz w:val="22"/>
          <w:szCs w:val="22"/>
        </w:rPr>
        <w:t xml:space="preserve"> розділів 10-18 Правил змінюється на </w:t>
      </w:r>
      <w:r w:rsidR="00E40049" w:rsidRPr="002E2DED">
        <w:rPr>
          <w:sz w:val="22"/>
          <w:szCs w:val="22"/>
        </w:rPr>
        <w:t>11</w:t>
      </w:r>
      <w:r w:rsidRPr="002E2DED">
        <w:rPr>
          <w:sz w:val="22"/>
          <w:szCs w:val="22"/>
        </w:rPr>
        <w:t xml:space="preserve"> -</w:t>
      </w:r>
      <w:r w:rsidR="00E40049" w:rsidRPr="002E2DED">
        <w:rPr>
          <w:sz w:val="22"/>
          <w:szCs w:val="22"/>
        </w:rPr>
        <w:t>19 з відповідною нумерацією пунктів, які вони включають.</w:t>
      </w:r>
    </w:p>
    <w:p w:rsidR="00DA62BB" w:rsidRPr="002E2DED" w:rsidRDefault="00B0686E" w:rsidP="00AC2FCC">
      <w:pPr>
        <w:spacing w:after="120"/>
        <w:ind w:firstLine="708"/>
        <w:jc w:val="both"/>
        <w:rPr>
          <w:sz w:val="22"/>
          <w:szCs w:val="22"/>
        </w:rPr>
      </w:pPr>
      <w:r w:rsidRPr="002E2DED">
        <w:rPr>
          <w:sz w:val="22"/>
          <w:szCs w:val="22"/>
        </w:rPr>
        <w:t xml:space="preserve">Зазначені у цій Пропозиції зміни та доповнення до Правил набирають чинності з </w:t>
      </w:r>
      <w:r w:rsidR="002E2DED" w:rsidRPr="002E2DED">
        <w:rPr>
          <w:b/>
          <w:sz w:val="22"/>
          <w:szCs w:val="22"/>
        </w:rPr>
        <w:t>01.08</w:t>
      </w:r>
      <w:r w:rsidR="009262DC" w:rsidRPr="002E2DED">
        <w:rPr>
          <w:b/>
          <w:sz w:val="22"/>
          <w:szCs w:val="22"/>
        </w:rPr>
        <w:t>.2018</w:t>
      </w:r>
      <w:r w:rsidRPr="002E2DED">
        <w:rPr>
          <w:sz w:val="22"/>
          <w:szCs w:val="22"/>
        </w:rPr>
        <w:t xml:space="preserve"> року</w:t>
      </w:r>
      <w:r w:rsidR="00624875" w:rsidRPr="002E2DED">
        <w:rPr>
          <w:sz w:val="22"/>
          <w:szCs w:val="22"/>
        </w:rPr>
        <w:t>.</w:t>
      </w:r>
    </w:p>
    <w:p w:rsidR="00B26835" w:rsidRPr="002E2DED" w:rsidRDefault="00B26835" w:rsidP="00B26835">
      <w:pPr>
        <w:autoSpaceDE w:val="0"/>
        <w:autoSpaceDN w:val="0"/>
        <w:adjustRightInd w:val="0"/>
        <w:spacing w:after="120"/>
        <w:ind w:firstLine="709"/>
        <w:jc w:val="both"/>
        <w:rPr>
          <w:bCs/>
          <w:iCs/>
          <w:sz w:val="22"/>
          <w:szCs w:val="22"/>
        </w:rPr>
      </w:pPr>
      <w:r w:rsidRPr="002E2DED">
        <w:rPr>
          <w:bCs/>
          <w:iCs/>
          <w:sz w:val="22"/>
          <w:szCs w:val="22"/>
        </w:rPr>
        <w:t>Детальну інформацію щодо вищезазначених змін та доповнень до Правил можна отримати на дошках оголошень, що розміщені в операційних залах АБ «УКРГАЗБАНК», на WEB-сайті АБ «УКРГАЗБАНК» www.ukrgasbank.com (у розділі «Платіжні картки»),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B26835" w:rsidRPr="002E2DED" w:rsidRDefault="00B26835" w:rsidP="00B26835">
      <w:pPr>
        <w:autoSpaceDE w:val="0"/>
        <w:autoSpaceDN w:val="0"/>
        <w:adjustRightInd w:val="0"/>
        <w:spacing w:after="120"/>
        <w:ind w:firstLine="709"/>
        <w:jc w:val="both"/>
        <w:rPr>
          <w:bCs/>
          <w:iCs/>
          <w:sz w:val="22"/>
          <w:szCs w:val="22"/>
        </w:rPr>
      </w:pPr>
      <w:r w:rsidRPr="002E2DED">
        <w:rPr>
          <w:bCs/>
          <w:iCs/>
          <w:sz w:val="22"/>
          <w:szCs w:val="22"/>
        </w:rPr>
        <w:t>У разі незгоди із доведеними АБ «УКРГАЗБАНК» змінами пропонуємо звернутись до найближчого відділення АБ «УКРГАЗБАНК».</w:t>
      </w:r>
    </w:p>
    <w:p w:rsidR="00992E0C" w:rsidRPr="002E2DED" w:rsidRDefault="00992E0C" w:rsidP="00992E0C">
      <w:pPr>
        <w:ind w:firstLine="567"/>
        <w:jc w:val="both"/>
        <w:rPr>
          <w:sz w:val="22"/>
          <w:szCs w:val="22"/>
        </w:rPr>
      </w:pPr>
    </w:p>
    <w:p w:rsidR="00992E0C" w:rsidRPr="002E2DED" w:rsidRDefault="00992E0C" w:rsidP="00992E0C">
      <w:pPr>
        <w:ind w:firstLine="540"/>
        <w:rPr>
          <w:sz w:val="22"/>
          <w:szCs w:val="22"/>
        </w:rPr>
      </w:pPr>
    </w:p>
    <w:tbl>
      <w:tblPr>
        <w:tblW w:w="10598" w:type="dxa"/>
        <w:tblLook w:val="04A0" w:firstRow="1" w:lastRow="0" w:firstColumn="1" w:lastColumn="0" w:noHBand="0" w:noVBand="1"/>
      </w:tblPr>
      <w:tblGrid>
        <w:gridCol w:w="10598"/>
      </w:tblGrid>
      <w:tr w:rsidR="00320813" w:rsidRPr="002E2DED" w:rsidTr="006C62F0">
        <w:trPr>
          <w:trHeight w:val="525"/>
        </w:trPr>
        <w:tc>
          <w:tcPr>
            <w:tcW w:w="10598" w:type="dxa"/>
          </w:tcPr>
          <w:p w:rsidR="00320813" w:rsidRPr="002E2DED" w:rsidRDefault="00320813" w:rsidP="006C62F0">
            <w:pPr>
              <w:spacing w:before="120"/>
              <w:jc w:val="both"/>
              <w:rPr>
                <w:b/>
                <w:bCs/>
                <w:iCs/>
                <w:sz w:val="24"/>
                <w:szCs w:val="24"/>
              </w:rPr>
            </w:pPr>
            <w:r w:rsidRPr="002E2DED">
              <w:rPr>
                <w:sz w:val="24"/>
                <w:szCs w:val="24"/>
              </w:rPr>
              <w:t>Голова засідання                                                                                   О.В. Дубровін</w:t>
            </w:r>
          </w:p>
        </w:tc>
      </w:tr>
    </w:tbl>
    <w:p w:rsidR="00042D2A" w:rsidRPr="002E2DED" w:rsidRDefault="00042D2A" w:rsidP="00E40049">
      <w:pPr>
        <w:rPr>
          <w:sz w:val="22"/>
          <w:szCs w:val="22"/>
        </w:rPr>
      </w:pPr>
    </w:p>
    <w:sectPr w:rsidR="00042D2A" w:rsidRPr="002E2DED" w:rsidSect="00AC2FCC">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nsid w:val="23D54E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5F5DDB"/>
    <w:multiLevelType w:val="multilevel"/>
    <w:tmpl w:val="A6EC591E"/>
    <w:lvl w:ilvl="0">
      <w:start w:val="6"/>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F"/>
    <w:rsid w:val="00042D2A"/>
    <w:rsid w:val="00087495"/>
    <w:rsid w:val="000C20C6"/>
    <w:rsid w:val="00146A3C"/>
    <w:rsid w:val="001B1FA6"/>
    <w:rsid w:val="001E20C4"/>
    <w:rsid w:val="002814A8"/>
    <w:rsid w:val="002C5E11"/>
    <w:rsid w:val="002E2DED"/>
    <w:rsid w:val="002F5230"/>
    <w:rsid w:val="0030255D"/>
    <w:rsid w:val="00320813"/>
    <w:rsid w:val="00344B7A"/>
    <w:rsid w:val="003B46BE"/>
    <w:rsid w:val="004B68BD"/>
    <w:rsid w:val="004D4533"/>
    <w:rsid w:val="00502BEA"/>
    <w:rsid w:val="00543568"/>
    <w:rsid w:val="005E599F"/>
    <w:rsid w:val="00624875"/>
    <w:rsid w:val="00653793"/>
    <w:rsid w:val="006A5B80"/>
    <w:rsid w:val="0072230F"/>
    <w:rsid w:val="00734F49"/>
    <w:rsid w:val="00742E2F"/>
    <w:rsid w:val="00757CF0"/>
    <w:rsid w:val="007C0DB5"/>
    <w:rsid w:val="007E0CCD"/>
    <w:rsid w:val="008011C3"/>
    <w:rsid w:val="008B3308"/>
    <w:rsid w:val="009148BF"/>
    <w:rsid w:val="009262DC"/>
    <w:rsid w:val="00954880"/>
    <w:rsid w:val="00972919"/>
    <w:rsid w:val="00992E0C"/>
    <w:rsid w:val="009D6D8E"/>
    <w:rsid w:val="009E378A"/>
    <w:rsid w:val="00A251CE"/>
    <w:rsid w:val="00A4243A"/>
    <w:rsid w:val="00AC2FCC"/>
    <w:rsid w:val="00AD58B7"/>
    <w:rsid w:val="00AF6501"/>
    <w:rsid w:val="00B0686E"/>
    <w:rsid w:val="00B26835"/>
    <w:rsid w:val="00BB7751"/>
    <w:rsid w:val="00BB7A7E"/>
    <w:rsid w:val="00BC7DCA"/>
    <w:rsid w:val="00C941ED"/>
    <w:rsid w:val="00CA0D57"/>
    <w:rsid w:val="00CA667E"/>
    <w:rsid w:val="00CB1D26"/>
    <w:rsid w:val="00D40B14"/>
    <w:rsid w:val="00D611B9"/>
    <w:rsid w:val="00D74095"/>
    <w:rsid w:val="00D82006"/>
    <w:rsid w:val="00DA07C5"/>
    <w:rsid w:val="00DA62BB"/>
    <w:rsid w:val="00DE060D"/>
    <w:rsid w:val="00E40049"/>
    <w:rsid w:val="00EE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B7A7E"/>
    <w:pPr>
      <w:keepNext/>
      <w:ind w:left="720" w:firstLine="720"/>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 w:type="character" w:customStyle="1" w:styleId="10">
    <w:name w:val="Заголовок 1 Знак"/>
    <w:basedOn w:val="a0"/>
    <w:link w:val="1"/>
    <w:rsid w:val="00BB7A7E"/>
    <w:rPr>
      <w:rFonts w:ascii="Times New Roman" w:eastAsia="Times New Roman" w:hAnsi="Times New Roman" w:cs="Times New Roman"/>
      <w:i/>
      <w:iCs/>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B7A7E"/>
    <w:pPr>
      <w:keepNext/>
      <w:ind w:left="720" w:firstLine="720"/>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 w:type="character" w:customStyle="1" w:styleId="10">
    <w:name w:val="Заголовок 1 Знак"/>
    <w:basedOn w:val="a0"/>
    <w:link w:val="1"/>
    <w:rsid w:val="00BB7A7E"/>
    <w:rPr>
      <w:rFonts w:ascii="Times New Roman" w:eastAsia="Times New Roman" w:hAnsi="Times New Roman" w:cs="Times New Roman"/>
      <w:i/>
      <w:iCs/>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8085</Words>
  <Characters>4609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Цвілій Дмитро Анатолійович</dc:creator>
  <cp:lastModifiedBy>Воздвиженський Денис Ярославович</cp:lastModifiedBy>
  <cp:revision>1</cp:revision>
  <dcterms:created xsi:type="dcterms:W3CDTF">2018-08-01T07:22:00Z</dcterms:created>
  <dcterms:modified xsi:type="dcterms:W3CDTF">2018-08-01T07:22:00Z</dcterms:modified>
</cp:coreProperties>
</file>