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719" w:rsidRPr="00626187" w:rsidRDefault="005F20EE">
      <w:pPr>
        <w:tabs>
          <w:tab w:val="left" w:pos="142"/>
          <w:tab w:val="left" w:pos="426"/>
          <w:tab w:val="left" w:pos="567"/>
          <w:tab w:val="left" w:pos="709"/>
        </w:tabs>
        <w:spacing w:line="288" w:lineRule="auto"/>
        <w:jc w:val="center"/>
        <w:rPr>
          <w:lang w:val="uk-UA"/>
        </w:rPr>
      </w:pPr>
      <w:r w:rsidRPr="00626187">
        <w:rPr>
          <w:rFonts w:ascii="Times New Roman" w:eastAsia="Times New Roman" w:hAnsi="Times New Roman" w:cs="Times New Roman"/>
          <w:b/>
          <w:sz w:val="24"/>
          <w:szCs w:val="24"/>
          <w:lang w:val="uk-UA"/>
        </w:rPr>
        <w:t>Офіційні правила кампанії «Вдалий рік. Зима»</w:t>
      </w:r>
    </w:p>
    <w:p w:rsidR="009F3719" w:rsidRPr="00626187" w:rsidRDefault="005F20EE">
      <w:pPr>
        <w:tabs>
          <w:tab w:val="left" w:pos="142"/>
          <w:tab w:val="left" w:pos="426"/>
          <w:tab w:val="left" w:pos="567"/>
          <w:tab w:val="left" w:pos="709"/>
        </w:tabs>
        <w:spacing w:line="288" w:lineRule="auto"/>
        <w:jc w:val="center"/>
        <w:rPr>
          <w:lang w:val="uk-UA"/>
        </w:rPr>
      </w:pPr>
      <w:r w:rsidRPr="00626187">
        <w:rPr>
          <w:rFonts w:ascii="Times New Roman" w:eastAsia="Times New Roman" w:hAnsi="Times New Roman" w:cs="Times New Roman"/>
          <w:b/>
          <w:sz w:val="24"/>
          <w:szCs w:val="24"/>
          <w:lang w:val="uk-UA"/>
        </w:rPr>
        <w:t>для зарплатних карток Debit MasterCard®, Gold MasterCard®, Platinum MasterCard®</w:t>
      </w:r>
      <w:r w:rsidR="00FD4F5C" w:rsidRPr="00626187">
        <w:rPr>
          <w:b/>
          <w:lang w:val="uk-UA"/>
        </w:rPr>
        <w:t xml:space="preserve"> </w:t>
      </w:r>
      <w:r w:rsidR="00FD4F5C" w:rsidRPr="00626187">
        <w:rPr>
          <w:rFonts w:ascii="Times New Roman" w:eastAsia="Times New Roman" w:hAnsi="Times New Roman" w:cs="Times New Roman"/>
          <w:b/>
          <w:sz w:val="24"/>
          <w:szCs w:val="24"/>
          <w:lang w:val="uk-UA"/>
        </w:rPr>
        <w:t>та карток Домовичок від АБ «УКРГАЗБАНК»</w:t>
      </w:r>
      <w:r w:rsidRPr="00626187">
        <w:rPr>
          <w:rFonts w:ascii="Times New Roman" w:eastAsia="Times New Roman" w:hAnsi="Times New Roman" w:cs="Times New Roman"/>
          <w:b/>
          <w:sz w:val="24"/>
          <w:szCs w:val="24"/>
          <w:lang w:val="uk-UA"/>
        </w:rPr>
        <w:t>, підключених до MasterCard Rewards</w:t>
      </w:r>
    </w:p>
    <w:p w:rsidR="009F3719" w:rsidRPr="00626187" w:rsidRDefault="009F3719">
      <w:pPr>
        <w:spacing w:line="240" w:lineRule="auto"/>
        <w:ind w:hanging="30"/>
        <w:jc w:val="both"/>
        <w:rPr>
          <w:lang w:val="uk-UA"/>
        </w:rPr>
      </w:pP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1. Основні положення та визначення наведені в Правилах Акції:</w:t>
      </w:r>
    </w:p>
    <w:p w:rsidR="009F3719" w:rsidRPr="00626187" w:rsidRDefault="005F20EE">
      <w:pPr>
        <w:tabs>
          <w:tab w:val="left" w:pos="851"/>
          <w:tab w:val="left" w:pos="993"/>
        </w:tabs>
        <w:spacing w:line="288" w:lineRule="auto"/>
        <w:jc w:val="both"/>
        <w:rPr>
          <w:lang w:val="uk-UA"/>
        </w:rPr>
      </w:pPr>
      <w:r w:rsidRPr="00626187">
        <w:rPr>
          <w:rFonts w:ascii="Times New Roman" w:eastAsia="Times New Roman" w:hAnsi="Times New Roman" w:cs="Times New Roman"/>
          <w:b/>
          <w:sz w:val="24"/>
          <w:szCs w:val="24"/>
          <w:lang w:val="uk-UA"/>
        </w:rPr>
        <w:t xml:space="preserve">1.1. </w:t>
      </w:r>
      <w:r w:rsidRPr="00626187">
        <w:rPr>
          <w:rFonts w:ascii="Times New Roman" w:eastAsia="Times New Roman" w:hAnsi="Times New Roman" w:cs="Times New Roman"/>
          <w:sz w:val="24"/>
          <w:szCs w:val="24"/>
          <w:lang w:val="uk-UA"/>
        </w:rPr>
        <w:t>Офіційними Правилами кампанії «Вдалий рік. Зима» для зарплатних карток Debit MasterCard®, Gold MasterCard®, Platinum MasterCard®</w:t>
      </w:r>
      <w:r w:rsidR="005B5C80" w:rsidRPr="00626187">
        <w:rPr>
          <w:b/>
          <w:lang w:val="uk-UA"/>
        </w:rPr>
        <w:t xml:space="preserve"> та карток Домовичок від АБ «УКРГАЗБАНК»</w:t>
      </w:r>
      <w:r w:rsidRPr="00626187">
        <w:rPr>
          <w:rFonts w:ascii="Times New Roman" w:eastAsia="Times New Roman" w:hAnsi="Times New Roman" w:cs="Times New Roman"/>
          <w:sz w:val="24"/>
          <w:szCs w:val="24"/>
          <w:lang w:val="uk-UA"/>
        </w:rPr>
        <w:t xml:space="preserve">, підключених до MasterCard Rewards (далі – Правила)  визначається порядок та умови проведення кампанії «Вдалий рік. Зима» для зарплатних карток Debit MasterCard®, Gold MasterCard®, Platinum MasterCard® </w:t>
      </w:r>
      <w:r w:rsidR="005B5C80" w:rsidRPr="00626187">
        <w:rPr>
          <w:b/>
          <w:lang w:val="uk-UA"/>
        </w:rPr>
        <w:t>та карток Домовичок від АБ «УКРГАЗБАНК»</w:t>
      </w:r>
      <w:r w:rsidR="005B5C80" w:rsidRPr="00626187">
        <w:rPr>
          <w:rFonts w:ascii="Times New Roman" w:eastAsia="Times New Roman" w:hAnsi="Times New Roman" w:cs="Times New Roman"/>
          <w:sz w:val="24"/>
          <w:szCs w:val="24"/>
          <w:lang w:val="uk-UA"/>
        </w:rPr>
        <w:t xml:space="preserve"> </w:t>
      </w:r>
      <w:r w:rsidRPr="00626187">
        <w:rPr>
          <w:rFonts w:ascii="Times New Roman" w:eastAsia="Times New Roman" w:hAnsi="Times New Roman" w:cs="Times New Roman"/>
          <w:sz w:val="24"/>
          <w:szCs w:val="24"/>
          <w:lang w:val="uk-UA"/>
        </w:rPr>
        <w:t>(далі – Акція).</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1.2.</w:t>
      </w:r>
      <w:r w:rsidRPr="00626187">
        <w:rPr>
          <w:rFonts w:ascii="Times New Roman" w:eastAsia="Times New Roman" w:hAnsi="Times New Roman" w:cs="Times New Roman"/>
          <w:sz w:val="24"/>
          <w:szCs w:val="24"/>
          <w:lang w:val="uk-UA"/>
        </w:rPr>
        <w:t xml:space="preserve"> Замовником Акції  </w:t>
      </w:r>
      <w:r w:rsidR="005B5C80" w:rsidRPr="00626187">
        <w:rPr>
          <w:rFonts w:ascii="Times New Roman" w:eastAsia="Times New Roman" w:hAnsi="Times New Roman" w:cs="Times New Roman"/>
          <w:sz w:val="24"/>
          <w:szCs w:val="24"/>
          <w:lang w:val="uk-UA"/>
        </w:rPr>
        <w:t xml:space="preserve">є </w:t>
      </w:r>
      <w:r w:rsidRPr="00626187">
        <w:rPr>
          <w:rFonts w:ascii="Times New Roman" w:eastAsia="Times New Roman" w:hAnsi="Times New Roman" w:cs="Times New Roman"/>
          <w:sz w:val="24"/>
          <w:szCs w:val="24"/>
          <w:lang w:val="uk-UA"/>
        </w:rPr>
        <w:t xml:space="preserve">ПУБЛІЧНЕ АКЦІОНЕРНЕ </w:t>
      </w:r>
      <w:bookmarkStart w:id="0" w:name="_GoBack"/>
      <w:bookmarkEnd w:id="0"/>
      <w:r w:rsidRPr="00626187">
        <w:rPr>
          <w:rFonts w:ascii="Times New Roman" w:eastAsia="Times New Roman" w:hAnsi="Times New Roman" w:cs="Times New Roman"/>
          <w:sz w:val="24"/>
          <w:szCs w:val="24"/>
          <w:lang w:val="uk-UA"/>
        </w:rPr>
        <w:t>ТОВАРИСТВО АКЦІОНЕРНИЙ БАНК «УКРГАЗБАНК» (далі – Замовник). Адреса: 01030 Київ, вул. Богдана Хмельницького 16-22.</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1.3.</w:t>
      </w:r>
      <w:r w:rsidRPr="00626187">
        <w:rPr>
          <w:rFonts w:ascii="Times New Roman" w:eastAsia="Times New Roman" w:hAnsi="Times New Roman" w:cs="Times New Roman"/>
          <w:sz w:val="24"/>
          <w:szCs w:val="24"/>
          <w:lang w:val="uk-UA"/>
        </w:rPr>
        <w:t xml:space="preserve"> Виконавцем Акції є ТОВ «АЙСМАРТ» (далі – Виконавець). Адреса місцезнаходження Виконавця: 04070 Україна, м. Київ, вул. Димитрова, 5.</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1.4</w:t>
      </w:r>
      <w:r w:rsidRPr="00626187">
        <w:rPr>
          <w:rFonts w:ascii="Times New Roman" w:eastAsia="Times New Roman" w:hAnsi="Times New Roman" w:cs="Times New Roman"/>
          <w:sz w:val="24"/>
          <w:szCs w:val="24"/>
          <w:lang w:val="uk-UA"/>
        </w:rPr>
        <w:t>. Партнером Акції  є компанія «МастерКард Юроп спрл» (далі – Партнер), зареєстрована в Бельгії за адресою: 198A, Шосе де Тервурен, 1410 Ватерлоо, через своє Представництво в Україні, код ЄДРПОУ 26600463, розташоване за адресою: Україна, 01030, м. Київ, вул. Б.Хмельницького, 17/52, поверх 4А, офіс 404</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1.5.</w:t>
      </w:r>
      <w:r w:rsidRPr="00626187">
        <w:rPr>
          <w:rFonts w:ascii="Times New Roman" w:eastAsia="Times New Roman" w:hAnsi="Times New Roman" w:cs="Times New Roman"/>
          <w:sz w:val="24"/>
          <w:szCs w:val="24"/>
          <w:lang w:val="uk-UA"/>
        </w:rPr>
        <w:t xml:space="preserve"> Для проведення Акції Замовник, Партнер та/або Виконавець мають право залучати третіх осіб.</w:t>
      </w:r>
    </w:p>
    <w:p w:rsidR="009F3719" w:rsidRPr="00626187" w:rsidRDefault="005F20EE">
      <w:pPr>
        <w:spacing w:line="288" w:lineRule="auto"/>
        <w:ind w:hanging="30"/>
        <w:jc w:val="both"/>
        <w:rPr>
          <w:lang w:val="uk-UA"/>
        </w:rPr>
      </w:pPr>
      <w:r w:rsidRPr="00626187">
        <w:rPr>
          <w:rFonts w:ascii="Times New Roman" w:eastAsia="Times New Roman" w:hAnsi="Times New Roman" w:cs="Times New Roman"/>
          <w:b/>
          <w:sz w:val="24"/>
          <w:szCs w:val="24"/>
          <w:lang w:val="uk-UA"/>
        </w:rPr>
        <w:t>1.6.</w:t>
      </w:r>
      <w:r w:rsidRPr="00626187">
        <w:rPr>
          <w:rFonts w:ascii="Times New Roman" w:eastAsia="Times New Roman" w:hAnsi="Times New Roman" w:cs="Times New Roman"/>
          <w:sz w:val="24"/>
          <w:szCs w:val="24"/>
          <w:lang w:val="uk-UA"/>
        </w:rPr>
        <w:t xml:space="preserve"> </w:t>
      </w:r>
      <w:r w:rsidRPr="00626187">
        <w:rPr>
          <w:rFonts w:ascii="Times New Roman" w:eastAsia="Times New Roman" w:hAnsi="Times New Roman" w:cs="Times New Roman"/>
          <w:b/>
          <w:sz w:val="24"/>
          <w:szCs w:val="24"/>
          <w:lang w:val="uk-UA"/>
        </w:rPr>
        <w:t>Основні визначення:</w:t>
      </w:r>
    </w:p>
    <w:p w:rsidR="009F3719" w:rsidRPr="00626187" w:rsidRDefault="005F20EE">
      <w:pPr>
        <w:spacing w:line="288" w:lineRule="auto"/>
        <w:ind w:hanging="30"/>
        <w:jc w:val="both"/>
        <w:rPr>
          <w:lang w:val="uk-UA"/>
        </w:rPr>
      </w:pPr>
      <w:r w:rsidRPr="00626187">
        <w:rPr>
          <w:rFonts w:ascii="Times New Roman" w:eastAsia="Times New Roman" w:hAnsi="Times New Roman" w:cs="Times New Roman"/>
          <w:b/>
          <w:sz w:val="24"/>
          <w:szCs w:val="24"/>
          <w:lang w:val="uk-UA"/>
        </w:rPr>
        <w:t>1.6.1. «Бали»</w:t>
      </w:r>
      <w:r w:rsidRPr="00626187">
        <w:rPr>
          <w:rFonts w:ascii="Times New Roman" w:eastAsia="Times New Roman" w:hAnsi="Times New Roman" w:cs="Times New Roman"/>
          <w:sz w:val="24"/>
          <w:szCs w:val="24"/>
          <w:lang w:val="uk-UA"/>
        </w:rPr>
        <w:t> - бали, які Учасники Бонусної програми накопичують в рамках її проведення, та за відповідну кількість яких мають змогу придбати одну чи більше одиниць Акційної продукції.</w:t>
      </w:r>
    </w:p>
    <w:p w:rsidR="009F3719" w:rsidRPr="00626187" w:rsidRDefault="005F20EE">
      <w:pPr>
        <w:tabs>
          <w:tab w:val="left" w:pos="851"/>
          <w:tab w:val="left" w:pos="993"/>
        </w:tabs>
        <w:spacing w:line="288" w:lineRule="auto"/>
        <w:jc w:val="both"/>
        <w:rPr>
          <w:lang w:val="uk-UA"/>
        </w:rPr>
      </w:pPr>
      <w:r w:rsidRPr="00626187">
        <w:rPr>
          <w:rFonts w:ascii="Times New Roman" w:eastAsia="Times New Roman" w:hAnsi="Times New Roman" w:cs="Times New Roman"/>
          <w:b/>
          <w:sz w:val="24"/>
          <w:szCs w:val="24"/>
          <w:lang w:val="uk-UA"/>
        </w:rPr>
        <w:t>1.6.2. «Сайт Акції»</w:t>
      </w:r>
      <w:r w:rsidRPr="00626187">
        <w:rPr>
          <w:rFonts w:ascii="Times New Roman" w:eastAsia="Times New Roman" w:hAnsi="Times New Roman" w:cs="Times New Roman"/>
          <w:sz w:val="24"/>
          <w:szCs w:val="24"/>
          <w:lang w:val="uk-UA"/>
        </w:rPr>
        <w:t xml:space="preserve"> – Інтернет-сайт Акції за адресою: </w:t>
      </w:r>
      <w:hyperlink r:id="rId5" w:history="1">
        <w:r w:rsidR="005B5C80" w:rsidRPr="00626187">
          <w:rPr>
            <w:rStyle w:val="ac"/>
            <w:sz w:val="20"/>
            <w:szCs w:val="24"/>
            <w:lang w:val="uk-UA"/>
          </w:rPr>
          <w:t>http://www.ukrgasbank.com/mrs/</w:t>
        </w:r>
      </w:hyperlink>
      <w:r w:rsidR="0052467B" w:rsidRPr="00626187">
        <w:rPr>
          <w:rStyle w:val="ac"/>
          <w:sz w:val="20"/>
          <w:szCs w:val="24"/>
          <w:lang w:val="uk-UA"/>
        </w:rPr>
        <w:t xml:space="preserve">, </w:t>
      </w:r>
      <w:r w:rsidR="005B5C80" w:rsidRPr="00626187">
        <w:rPr>
          <w:sz w:val="20"/>
          <w:szCs w:val="24"/>
          <w:lang w:val="uk-UA"/>
        </w:rPr>
        <w:t xml:space="preserve"> </w:t>
      </w:r>
      <w:hyperlink r:id="rId6" w:history="1">
        <w:r w:rsidR="005B5C80" w:rsidRPr="00626187">
          <w:rPr>
            <w:rStyle w:val="ac"/>
            <w:sz w:val="20"/>
            <w:szCs w:val="24"/>
            <w:lang w:val="uk-UA"/>
          </w:rPr>
          <w:t>http://www.ukrgasbank.com/private/card_and_current_accounts/domovychok/</w:t>
        </w:r>
      </w:hyperlink>
    </w:p>
    <w:p w:rsidR="009F3719" w:rsidRPr="00626187" w:rsidRDefault="005F20EE">
      <w:pPr>
        <w:tabs>
          <w:tab w:val="left" w:pos="851"/>
          <w:tab w:val="left" w:pos="993"/>
        </w:tabs>
        <w:spacing w:line="288" w:lineRule="auto"/>
        <w:jc w:val="both"/>
        <w:rPr>
          <w:lang w:val="uk-UA"/>
        </w:rPr>
      </w:pPr>
      <w:r w:rsidRPr="00626187">
        <w:rPr>
          <w:rFonts w:ascii="Times New Roman" w:eastAsia="Times New Roman" w:hAnsi="Times New Roman" w:cs="Times New Roman"/>
          <w:b/>
          <w:sz w:val="24"/>
          <w:szCs w:val="24"/>
          <w:lang w:val="uk-UA"/>
        </w:rPr>
        <w:t>1.6.3. «Бонусна Програма», «Програма» </w:t>
      </w:r>
      <w:r w:rsidRPr="00626187">
        <w:rPr>
          <w:rFonts w:ascii="Times New Roman" w:eastAsia="Times New Roman" w:hAnsi="Times New Roman" w:cs="Times New Roman"/>
          <w:sz w:val="24"/>
          <w:szCs w:val="24"/>
          <w:lang w:val="uk-UA"/>
        </w:rPr>
        <w:t>– програма лояльності на основі балів, що нараховуються за розрахунки Карткою Учасника, організована MasterCard, в якій Учасники зареєструвалися шляхом надання згоди на участь в Програмі.</w:t>
      </w:r>
    </w:p>
    <w:p w:rsidR="005B5C80" w:rsidRPr="00626187" w:rsidRDefault="005F20EE" w:rsidP="005B5C80">
      <w:pPr>
        <w:tabs>
          <w:tab w:val="left" w:pos="851"/>
          <w:tab w:val="left" w:pos="993"/>
          <w:tab w:val="left" w:pos="1134"/>
        </w:tabs>
        <w:spacing w:line="288" w:lineRule="auto"/>
        <w:jc w:val="both"/>
        <w:rPr>
          <w:rStyle w:val="ac"/>
          <w:color w:val="000000"/>
          <w:u w:val="none"/>
          <w:lang w:val="uk-UA"/>
        </w:rPr>
      </w:pPr>
      <w:r w:rsidRPr="00626187">
        <w:rPr>
          <w:rFonts w:ascii="Times New Roman" w:eastAsia="Times New Roman" w:hAnsi="Times New Roman" w:cs="Times New Roman"/>
          <w:b/>
          <w:sz w:val="24"/>
          <w:szCs w:val="24"/>
          <w:lang w:val="uk-UA"/>
        </w:rPr>
        <w:t xml:space="preserve">1.6.4. «Каталог винагород» - </w:t>
      </w:r>
      <w:r w:rsidRPr="00626187">
        <w:rPr>
          <w:rFonts w:ascii="Times New Roman" w:eastAsia="Times New Roman" w:hAnsi="Times New Roman" w:cs="Times New Roman"/>
          <w:sz w:val="24"/>
          <w:szCs w:val="24"/>
          <w:lang w:val="uk-UA"/>
        </w:rPr>
        <w:t xml:space="preserve">каталог, що містить перелік Винагород, доступних за Програмою, доступ до яких відбувається через сайт Програми за адресою: </w:t>
      </w:r>
      <w:hyperlink r:id="rId7">
        <w:r w:rsidRPr="00626187">
          <w:rPr>
            <w:rFonts w:ascii="Times New Roman" w:eastAsia="Times New Roman" w:hAnsi="Times New Roman" w:cs="Times New Roman"/>
            <w:color w:val="0000FF"/>
            <w:szCs w:val="24"/>
            <w:u w:val="single"/>
            <w:lang w:val="uk-UA"/>
          </w:rPr>
          <w:t>http://www.ukrgasbank.com/mrs/</w:t>
        </w:r>
      </w:hyperlink>
      <w:r w:rsidR="0052467B" w:rsidRPr="00626187">
        <w:rPr>
          <w:rFonts w:ascii="Times New Roman" w:eastAsia="Times New Roman" w:hAnsi="Times New Roman" w:cs="Times New Roman"/>
          <w:szCs w:val="24"/>
          <w:lang w:val="uk-UA"/>
        </w:rPr>
        <w:t xml:space="preserve">, </w:t>
      </w:r>
      <w:hyperlink r:id="rId8" w:history="1">
        <w:r w:rsidR="005B5C80" w:rsidRPr="00626187">
          <w:rPr>
            <w:rStyle w:val="ac"/>
            <w:sz w:val="20"/>
            <w:szCs w:val="24"/>
            <w:lang w:val="uk-UA"/>
          </w:rPr>
          <w:t>http://www.ukrgasbank.com/private/card_and_current_accounts/domovychok/</w:t>
        </w:r>
      </w:hyperlink>
    </w:p>
    <w:p w:rsidR="009F3719" w:rsidRPr="00626187" w:rsidRDefault="005F20EE">
      <w:pPr>
        <w:tabs>
          <w:tab w:val="left" w:pos="851"/>
          <w:tab w:val="left" w:pos="993"/>
          <w:tab w:val="left" w:pos="1134"/>
        </w:tabs>
        <w:spacing w:line="288" w:lineRule="auto"/>
        <w:jc w:val="both"/>
        <w:rPr>
          <w:lang w:val="uk-UA"/>
        </w:rPr>
      </w:pPr>
      <w:r w:rsidRPr="00626187">
        <w:rPr>
          <w:rFonts w:ascii="Times New Roman" w:eastAsia="Times New Roman" w:hAnsi="Times New Roman" w:cs="Times New Roman"/>
          <w:b/>
          <w:sz w:val="24"/>
          <w:szCs w:val="24"/>
          <w:lang w:val="uk-UA"/>
        </w:rPr>
        <w:t xml:space="preserve">1.6.5. «Реєстраційна анкета» – </w:t>
      </w:r>
      <w:r w:rsidRPr="00626187">
        <w:rPr>
          <w:rFonts w:ascii="Times New Roman" w:eastAsia="Times New Roman" w:hAnsi="Times New Roman" w:cs="Times New Roman"/>
          <w:sz w:val="24"/>
          <w:szCs w:val="24"/>
          <w:lang w:val="uk-UA"/>
        </w:rPr>
        <w:t>реєстраційна анкета на участь у Програмі.</w:t>
      </w:r>
    </w:p>
    <w:p w:rsidR="009F3719" w:rsidRPr="00626187" w:rsidRDefault="005F20EE">
      <w:pPr>
        <w:tabs>
          <w:tab w:val="left" w:pos="851"/>
          <w:tab w:val="left" w:pos="993"/>
          <w:tab w:val="left" w:pos="1134"/>
        </w:tabs>
        <w:spacing w:line="288" w:lineRule="auto"/>
        <w:jc w:val="both"/>
        <w:rPr>
          <w:lang w:val="uk-UA"/>
        </w:rPr>
      </w:pPr>
      <w:r w:rsidRPr="00626187">
        <w:rPr>
          <w:rFonts w:ascii="Times New Roman" w:eastAsia="Times New Roman" w:hAnsi="Times New Roman" w:cs="Times New Roman"/>
          <w:b/>
          <w:sz w:val="24"/>
          <w:szCs w:val="24"/>
          <w:lang w:val="uk-UA"/>
        </w:rPr>
        <w:t>1.6.6. «Учасник Бонусної програми»</w:t>
      </w:r>
      <w:r w:rsidRPr="00626187">
        <w:rPr>
          <w:rFonts w:ascii="Times New Roman" w:eastAsia="Times New Roman" w:hAnsi="Times New Roman" w:cs="Times New Roman"/>
          <w:sz w:val="24"/>
          <w:szCs w:val="24"/>
          <w:lang w:val="uk-UA"/>
        </w:rPr>
        <w:t xml:space="preserve"> (надалі – Учасник Акції) – держатель зарплатних карткок Debit MasterCard®, Gold MasterCard®, Platinum MasterCard® </w:t>
      </w:r>
      <w:r w:rsidR="005B5C80" w:rsidRPr="00626187">
        <w:rPr>
          <w:rFonts w:ascii="Times New Roman" w:hAnsi="Times New Roman"/>
          <w:bCs/>
          <w:sz w:val="24"/>
          <w:szCs w:val="24"/>
          <w:lang w:val="uk-UA"/>
        </w:rPr>
        <w:t>та картки Домовичок від АБ «УКРГАЗБАНКу»</w:t>
      </w:r>
      <w:r w:rsidR="005B5C80" w:rsidRPr="00626187">
        <w:rPr>
          <w:rFonts w:ascii="Times New Roman" w:eastAsia="Times New Roman" w:hAnsi="Times New Roman" w:cs="Times New Roman"/>
          <w:sz w:val="24"/>
          <w:szCs w:val="24"/>
          <w:lang w:val="uk-UA"/>
        </w:rPr>
        <w:t xml:space="preserve">  </w:t>
      </w:r>
      <w:r w:rsidRPr="00626187">
        <w:rPr>
          <w:rFonts w:ascii="Times New Roman" w:eastAsia="Times New Roman" w:hAnsi="Times New Roman" w:cs="Times New Roman"/>
          <w:sz w:val="24"/>
          <w:szCs w:val="24"/>
          <w:lang w:val="uk-UA"/>
        </w:rPr>
        <w:t>(надалі - Картка), зареєстрований для участі в Бонусній Програмі Замовника на підставі своєї згоди.</w:t>
      </w:r>
    </w:p>
    <w:p w:rsidR="009F3719" w:rsidRPr="00626187" w:rsidRDefault="009F3719">
      <w:pPr>
        <w:tabs>
          <w:tab w:val="left" w:pos="851"/>
          <w:tab w:val="left" w:pos="993"/>
          <w:tab w:val="left" w:pos="1134"/>
        </w:tabs>
        <w:spacing w:line="288" w:lineRule="auto"/>
        <w:jc w:val="both"/>
        <w:rPr>
          <w:lang w:val="uk-UA"/>
        </w:rPr>
      </w:pP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2. Період проведення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2.1.</w:t>
      </w:r>
      <w:r w:rsidRPr="00626187">
        <w:rPr>
          <w:rFonts w:ascii="Times New Roman" w:eastAsia="Times New Roman" w:hAnsi="Times New Roman" w:cs="Times New Roman"/>
          <w:sz w:val="24"/>
          <w:szCs w:val="24"/>
          <w:lang w:val="uk-UA"/>
        </w:rPr>
        <w:t xml:space="preserve"> Загальний термін проведення Акції 1 грудня 2016 року по 31 грудня 2016 року (надалі – «Строк проведення Акції», «Період Акції» або «Тривалість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lastRenderedPageBreak/>
        <w:t>2.2.</w:t>
      </w:r>
      <w:r w:rsidRPr="00626187">
        <w:rPr>
          <w:rFonts w:ascii="Times New Roman" w:eastAsia="Times New Roman" w:hAnsi="Times New Roman" w:cs="Times New Roman"/>
          <w:sz w:val="24"/>
          <w:szCs w:val="24"/>
          <w:lang w:val="uk-UA"/>
        </w:rPr>
        <w:t xml:space="preserve"> Акція проводиться в 2 (два) етапи (надалі – «Етапи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2.2.1.</w:t>
      </w:r>
      <w:r w:rsidRPr="00626187">
        <w:rPr>
          <w:rFonts w:ascii="Times New Roman" w:eastAsia="Times New Roman" w:hAnsi="Times New Roman" w:cs="Times New Roman"/>
          <w:sz w:val="24"/>
          <w:szCs w:val="24"/>
          <w:lang w:val="uk-UA"/>
        </w:rPr>
        <w:t xml:space="preserve"> З 01 грудня 2016 року по 24 грудня 2016 року включно (надалі – Етап №1);</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2.2.2.</w:t>
      </w:r>
      <w:r w:rsidRPr="00626187">
        <w:rPr>
          <w:rFonts w:ascii="Times New Roman" w:eastAsia="Times New Roman" w:hAnsi="Times New Roman" w:cs="Times New Roman"/>
          <w:sz w:val="24"/>
          <w:szCs w:val="24"/>
          <w:lang w:val="uk-UA"/>
        </w:rPr>
        <w:t xml:space="preserve"> З 25 грудня 2016 року по 31 грудня 2016 року включно (надалі – Етап №2);</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2.3.</w:t>
      </w:r>
      <w:r w:rsidRPr="00626187">
        <w:rPr>
          <w:rFonts w:ascii="Times New Roman" w:eastAsia="Times New Roman" w:hAnsi="Times New Roman" w:cs="Times New Roman"/>
          <w:sz w:val="24"/>
          <w:szCs w:val="24"/>
          <w:lang w:val="uk-UA"/>
        </w:rPr>
        <w:t xml:space="preserve"> Акція діє на всій території України за виключенням території проведення антитерористичної операції, тимчасово окупованої території (Автономної Республіки Крим та міста Севастополя, окремих районів, міст, селищ і сіл Донецької та Луганської областей) (надалі – «Територія Акції»).</w:t>
      </w:r>
    </w:p>
    <w:p w:rsidR="009F3719" w:rsidRPr="00626187" w:rsidRDefault="005F20EE">
      <w:pPr>
        <w:spacing w:line="240" w:lineRule="auto"/>
        <w:ind w:hanging="30"/>
        <w:jc w:val="both"/>
        <w:rPr>
          <w:lang w:val="uk-UA"/>
        </w:rPr>
      </w:pPr>
      <w:r w:rsidRPr="00626187">
        <w:rPr>
          <w:rFonts w:ascii="Times New Roman" w:eastAsia="Times New Roman" w:hAnsi="Times New Roman" w:cs="Times New Roman"/>
          <w:sz w:val="24"/>
          <w:szCs w:val="24"/>
          <w:lang w:val="uk-UA"/>
        </w:rPr>
        <w:t xml:space="preserve"> </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 Умови участі та подарунковий Фонд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3.1. Участь у Етапі №1:</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sz w:val="24"/>
          <w:szCs w:val="24"/>
          <w:lang w:val="uk-UA"/>
        </w:rPr>
        <w:t>Протягом 1-го Етапу кожен Учасник Бонусної програми, який розрахується Карткою Debit MasterCard®, Gold MasterCard®, Platinum MasterCard® на суму від 500 (п’ятсот) гривень одним чеком автоматично стає Учасником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3.2. Участь у Етапі №2:</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sz w:val="24"/>
          <w:szCs w:val="24"/>
          <w:lang w:val="uk-UA"/>
        </w:rPr>
        <w:t>Протягом 2-го Етапу кожен Учасник Бонусної програми, який розрахується Карткою Debit MasterCard®, Gold MasterCard®, Platinum MasterCard® за товари в продуктових магазинах, отримає в 5 (пять) раз більше балів. Максимальна кількість бонусних балів складає 1000 (одна тисяча) балів.</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3.3</w:t>
      </w:r>
      <w:r w:rsidRPr="00626187">
        <w:rPr>
          <w:rFonts w:ascii="Times New Roman" w:eastAsia="Times New Roman" w:hAnsi="Times New Roman" w:cs="Times New Roman"/>
          <w:sz w:val="24"/>
          <w:szCs w:val="24"/>
          <w:lang w:val="uk-UA"/>
        </w:rPr>
        <w:t>. Головним Заохоченням Акції є подарунковий сертифікат в мережу супермаркетів Сільпо, номіналом 1000 (одна тисяча) гривень. Під “подарунковим сертифікатом” розуміється – інформаційне повідомлення, відправлене на електронну адресу Учасника Акції, що містить обов'язкові реквізити - номер / код, дату, термін дії, основні умови використання, інструкцію по активації сертифікату, еквівалентом двух сертифікатів номіналом 500 (п’ятсот) гривень.  Загальна кількість Головних Заохочень складає 10 (десять) таких подарункових сертифікатів. Термін дії сертифікату 6 (шість) місяців з дати отримання.</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3.4.</w:t>
      </w:r>
      <w:r w:rsidRPr="00626187">
        <w:rPr>
          <w:rFonts w:ascii="Times New Roman" w:eastAsia="Times New Roman" w:hAnsi="Times New Roman" w:cs="Times New Roman"/>
          <w:sz w:val="24"/>
          <w:szCs w:val="24"/>
          <w:lang w:val="uk-UA"/>
        </w:rPr>
        <w:t xml:space="preserve"> Стати Учасником Акції, який здобуде можливість отримати Головне Заохочення Акції, у вигляді подарункового сертифікату, передбаченого в п.3.3., може дієздатна фізична особа, яка є Учасником Бонусної програми та протягом Етапу Акції №1 зробила 1 (одну) або більше транзакцій на суму від 500 (п’ятсот) гривень одним чеком, на момент участі в Акції якій виповнилося 18 років, має оформлений паспорт громадянина України та реєстраційний номер облікової картки платника податків, та виконала усі умови Правил. Участь в Акції неповнолітніх, обмежено дієздатних і недієздатних осіб здійснюється відповідно до чинного законодавства України. Замовник та/ або Виконавець Акції не зобов’язані перевіряти правоздатність та/або дієздатність Учасників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sz w:val="24"/>
          <w:szCs w:val="24"/>
          <w:lang w:val="uk-UA"/>
        </w:rPr>
        <w:t>Учасниками Акції не визнаються і не мають права брати участь в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sz w:val="24"/>
          <w:szCs w:val="24"/>
          <w:lang w:val="uk-UA"/>
        </w:rPr>
        <w:t>- особи, яким на момент проведення Акції ще не виповнилось 18 років;</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sz w:val="24"/>
          <w:szCs w:val="24"/>
          <w:lang w:val="uk-UA"/>
        </w:rPr>
        <w:t>- особи, які не виконали умови цих Правил.</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sz w:val="24"/>
          <w:szCs w:val="24"/>
          <w:lang w:val="uk-UA"/>
        </w:rPr>
        <w:t>- особи, які перебувають у трудових відносинах із Замовником та/або Виконавцем та/або Партнером;</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sz w:val="24"/>
          <w:szCs w:val="24"/>
          <w:lang w:val="uk-UA"/>
        </w:rPr>
        <w:t>- чоловік або дружина, а також найближчі родичі (дитина, брат, сестра, батько, мати, дід, баба).</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3.5.</w:t>
      </w:r>
      <w:r w:rsidRPr="00626187">
        <w:rPr>
          <w:rFonts w:ascii="Times New Roman" w:eastAsia="Times New Roman" w:hAnsi="Times New Roman" w:cs="Times New Roman"/>
          <w:sz w:val="24"/>
          <w:szCs w:val="24"/>
          <w:lang w:val="uk-UA"/>
        </w:rPr>
        <w:t xml:space="preserve"> Протягом 1-го Етапу Акції один Учасник Акції може отримати тільки 1 (одне) Головне Заохочення Акції.</w:t>
      </w:r>
    </w:p>
    <w:p w:rsidR="009F3719" w:rsidRPr="00626187" w:rsidRDefault="009F3719">
      <w:pPr>
        <w:tabs>
          <w:tab w:val="left" w:pos="142"/>
          <w:tab w:val="left" w:pos="426"/>
          <w:tab w:val="left" w:pos="567"/>
          <w:tab w:val="left" w:pos="709"/>
        </w:tabs>
        <w:spacing w:line="288" w:lineRule="auto"/>
        <w:jc w:val="both"/>
        <w:rPr>
          <w:lang w:val="uk-UA"/>
        </w:rPr>
      </w:pP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3.6.</w:t>
      </w:r>
      <w:r w:rsidRPr="00626187">
        <w:rPr>
          <w:rFonts w:ascii="Times New Roman" w:eastAsia="Times New Roman" w:hAnsi="Times New Roman" w:cs="Times New Roman"/>
          <w:sz w:val="24"/>
          <w:szCs w:val="24"/>
          <w:lang w:val="uk-UA"/>
        </w:rPr>
        <w:t xml:space="preserve">  Участь в Акції означає повну згоду Учасника Акції з усіма умовами цієї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3.7</w:t>
      </w:r>
      <w:r w:rsidRPr="00626187">
        <w:rPr>
          <w:rFonts w:ascii="Times New Roman" w:eastAsia="Times New Roman" w:hAnsi="Times New Roman" w:cs="Times New Roman"/>
          <w:sz w:val="24"/>
          <w:szCs w:val="24"/>
          <w:lang w:val="uk-UA"/>
        </w:rPr>
        <w:t>. Інформування щодо правил та умов проведення Акції здійснюється шляхом розміщення цих Правил на сайті www.ukrgasbank.com та за телефоном Гарячої лінії: 0-800-30-11-20  - для Учасників Акції (дзвінки зі стаціонарних телефонів безкоштовні, дзвінки з мобільних – згідно тарифів мобільного оператора). Лінії працюють в період проведення Акції кожен день (окрім державних свят) з  09.00 до 21.00.</w:t>
      </w:r>
    </w:p>
    <w:p w:rsidR="009F3719" w:rsidRPr="00626187" w:rsidRDefault="009F3719">
      <w:pPr>
        <w:tabs>
          <w:tab w:val="left" w:pos="142"/>
          <w:tab w:val="left" w:pos="426"/>
          <w:tab w:val="left" w:pos="567"/>
          <w:tab w:val="left" w:pos="709"/>
        </w:tabs>
        <w:spacing w:line="288" w:lineRule="auto"/>
        <w:jc w:val="both"/>
        <w:rPr>
          <w:lang w:val="uk-UA"/>
        </w:rPr>
      </w:pP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 xml:space="preserve">4. Умови визначення Переможця Акції та отримання Головного Заохочення Акції </w:t>
      </w:r>
    </w:p>
    <w:p w:rsidR="009F3719" w:rsidRPr="00626187" w:rsidRDefault="005F20EE">
      <w:pPr>
        <w:jc w:val="both"/>
        <w:rPr>
          <w:lang w:val="uk-UA"/>
        </w:rPr>
      </w:pPr>
      <w:r w:rsidRPr="00626187">
        <w:rPr>
          <w:rFonts w:ascii="Times New Roman" w:eastAsia="Times New Roman" w:hAnsi="Times New Roman" w:cs="Times New Roman"/>
          <w:b/>
          <w:sz w:val="24"/>
          <w:szCs w:val="24"/>
          <w:lang w:val="uk-UA"/>
        </w:rPr>
        <w:t>4.1</w:t>
      </w:r>
      <w:r w:rsidRPr="00626187">
        <w:rPr>
          <w:rFonts w:ascii="Times New Roman" w:eastAsia="Times New Roman" w:hAnsi="Times New Roman" w:cs="Times New Roman"/>
          <w:sz w:val="24"/>
          <w:szCs w:val="24"/>
          <w:lang w:val="uk-UA"/>
        </w:rPr>
        <w:t>. Визначення Учасників Акції, які здобудуть право на отримання Головного Заохочення Акції відбудеться наступним чином:</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4.1.1.</w:t>
      </w:r>
      <w:r w:rsidRPr="00626187">
        <w:rPr>
          <w:rFonts w:ascii="Times New Roman" w:eastAsia="Times New Roman" w:hAnsi="Times New Roman" w:cs="Times New Roman"/>
          <w:sz w:val="24"/>
          <w:szCs w:val="24"/>
          <w:lang w:val="uk-UA"/>
        </w:rPr>
        <w:t xml:space="preserve"> </w:t>
      </w:r>
      <w:r w:rsidR="00E92A5D" w:rsidRPr="00626187">
        <w:rPr>
          <w:rFonts w:ascii="Times New Roman" w:eastAsia="Times New Roman" w:hAnsi="Times New Roman" w:cs="Times New Roman"/>
          <w:b/>
          <w:sz w:val="24"/>
          <w:szCs w:val="24"/>
          <w:lang w:val="uk-UA"/>
        </w:rPr>
        <w:t xml:space="preserve">29 грудня </w:t>
      </w:r>
      <w:r w:rsidRPr="00626187">
        <w:rPr>
          <w:rFonts w:ascii="Times New Roman" w:eastAsia="Times New Roman" w:hAnsi="Times New Roman" w:cs="Times New Roman"/>
          <w:b/>
          <w:sz w:val="24"/>
          <w:szCs w:val="24"/>
          <w:lang w:val="uk-UA"/>
        </w:rPr>
        <w:t xml:space="preserve">2016 </w:t>
      </w:r>
      <w:r w:rsidRPr="00626187">
        <w:rPr>
          <w:rFonts w:ascii="Times New Roman" w:eastAsia="Times New Roman" w:hAnsi="Times New Roman" w:cs="Times New Roman"/>
          <w:sz w:val="24"/>
          <w:szCs w:val="24"/>
          <w:lang w:val="uk-UA"/>
        </w:rPr>
        <w:t>Замовник формує списки по Етапу Акції №1 на основі співставлень бази транзакцій зі списком Учасників акції, які протягом 1-го Етапу Акції зробили 1 (одну) або більше транзакцію на суму від 500 (п’ятсот) гривень одним чеком та надає Виконавцю перелік Учасників Акції, які здобудуть право на отримання Головних Заохочень Акції, передбачених п. 3.3. Правил, та перелік резервних Учасників Акції, які можуть здобути право на отримання Заохочень Акції;</w:t>
      </w:r>
    </w:p>
    <w:p w:rsidR="009F3719" w:rsidRPr="00626187" w:rsidRDefault="005F20EE">
      <w:pPr>
        <w:jc w:val="both"/>
        <w:rPr>
          <w:lang w:val="uk-UA"/>
        </w:rPr>
      </w:pPr>
      <w:r w:rsidRPr="00626187">
        <w:rPr>
          <w:rFonts w:ascii="Times New Roman" w:eastAsia="Times New Roman" w:hAnsi="Times New Roman" w:cs="Times New Roman"/>
          <w:b/>
          <w:sz w:val="24"/>
          <w:szCs w:val="24"/>
          <w:lang w:val="uk-UA"/>
        </w:rPr>
        <w:t>4.1.2.</w:t>
      </w:r>
      <w:r w:rsidRPr="00626187">
        <w:rPr>
          <w:rFonts w:ascii="Times New Roman" w:eastAsia="Times New Roman" w:hAnsi="Times New Roman" w:cs="Times New Roman"/>
          <w:sz w:val="24"/>
          <w:szCs w:val="24"/>
          <w:lang w:val="uk-UA"/>
        </w:rPr>
        <w:t xml:space="preserve"> Замовник протягом 5 (п’яти) днів надає Виконавцю переліки таких Учасників Акції, які здобули право на отримання Головного Заохоченя Акції у форматі Унікальних номерів Учасників Акції;</w:t>
      </w:r>
    </w:p>
    <w:p w:rsidR="009F3719" w:rsidRPr="00626187" w:rsidRDefault="005F20EE">
      <w:pPr>
        <w:jc w:val="both"/>
        <w:rPr>
          <w:rFonts w:ascii="Times New Roman" w:eastAsia="Times New Roman" w:hAnsi="Times New Roman" w:cs="Times New Roman"/>
          <w:sz w:val="24"/>
          <w:szCs w:val="24"/>
          <w:lang w:val="uk-UA"/>
        </w:rPr>
      </w:pPr>
      <w:r w:rsidRPr="00626187">
        <w:rPr>
          <w:rFonts w:ascii="Times New Roman" w:eastAsia="Times New Roman" w:hAnsi="Times New Roman" w:cs="Times New Roman"/>
          <w:b/>
          <w:sz w:val="24"/>
          <w:szCs w:val="24"/>
          <w:lang w:val="uk-UA"/>
        </w:rPr>
        <w:t>4.1.3.</w:t>
      </w:r>
      <w:r w:rsidRPr="00626187">
        <w:rPr>
          <w:rFonts w:ascii="Times New Roman" w:eastAsia="Times New Roman" w:hAnsi="Times New Roman" w:cs="Times New Roman"/>
          <w:sz w:val="24"/>
          <w:szCs w:val="24"/>
          <w:lang w:val="uk-UA"/>
        </w:rPr>
        <w:t xml:space="preserve"> Виконавець, в свою чергу, за результатами Етапу, визначеному у п.2.2.1. Правил, методом випадкового комп’ютерного відбору визначає 10 (десять) основних номерів Учасників Акції та 10 (десять) резервних, які передає Замовнику для інформування переможців;</w:t>
      </w:r>
    </w:p>
    <w:p w:rsidR="009F3719" w:rsidRPr="00626187" w:rsidRDefault="005F20EE" w:rsidP="005F20EE">
      <w:pPr>
        <w:jc w:val="both"/>
        <w:rPr>
          <w:lang w:val="uk-UA"/>
        </w:rPr>
      </w:pPr>
      <w:r w:rsidRPr="00626187">
        <w:rPr>
          <w:rFonts w:ascii="Times New Roman" w:eastAsia="Times New Roman" w:hAnsi="Times New Roman" w:cs="Times New Roman"/>
          <w:b/>
          <w:sz w:val="24"/>
          <w:szCs w:val="24"/>
          <w:lang w:val="uk-UA"/>
        </w:rPr>
        <w:t>4.1.4.</w:t>
      </w:r>
      <w:r w:rsidRPr="00626187">
        <w:rPr>
          <w:rFonts w:ascii="Times New Roman" w:eastAsia="Times New Roman" w:hAnsi="Times New Roman" w:cs="Times New Roman"/>
          <w:sz w:val="24"/>
          <w:szCs w:val="24"/>
          <w:lang w:val="uk-UA"/>
        </w:rPr>
        <w:t xml:space="preserve"> Протягом 5 (п’яти) робочих днів з дати надання інформації згідно п. 4.1.3. Замовник передає Виконавцю список електроних поштових адресів Переможців Акції. Виконавець надсилає Переможцям спеціальні коди, що зазначені в п. 3.3. Правил Акції, на електронні адреси, що вказані під час реєстрації Учасників в Бонусній програмі, та надає роз’яснення з приводу використання Головного Заохочення Акції.</w:t>
      </w:r>
    </w:p>
    <w:p w:rsidR="009F3719" w:rsidRPr="00626187" w:rsidRDefault="005F20EE">
      <w:pPr>
        <w:ind w:right="-170"/>
        <w:jc w:val="both"/>
        <w:rPr>
          <w:rFonts w:ascii="Times New Roman" w:eastAsia="Times New Roman" w:hAnsi="Times New Roman" w:cs="Times New Roman"/>
          <w:sz w:val="24"/>
          <w:szCs w:val="24"/>
          <w:lang w:val="uk-UA"/>
        </w:rPr>
      </w:pPr>
      <w:r w:rsidRPr="00626187">
        <w:rPr>
          <w:rFonts w:ascii="Times New Roman" w:eastAsia="Times New Roman" w:hAnsi="Times New Roman" w:cs="Times New Roman"/>
          <w:b/>
          <w:sz w:val="24"/>
          <w:szCs w:val="24"/>
          <w:lang w:val="uk-UA"/>
        </w:rPr>
        <w:t>4.2.</w:t>
      </w:r>
      <w:r w:rsidRPr="00626187">
        <w:rPr>
          <w:rFonts w:ascii="Times New Roman" w:eastAsia="Times New Roman" w:hAnsi="Times New Roman" w:cs="Times New Roman"/>
          <w:sz w:val="24"/>
          <w:szCs w:val="24"/>
          <w:lang w:val="uk-UA"/>
        </w:rPr>
        <w:t xml:space="preserve"> Для використання Головного Заохочення Акції, Учасники Акції, які отримали Подарункові Сертифікати в мережу магазинів Сільпо, повинні протягом 6 (шести) місяців звернутись до будь-якого магазину Сільпо, обміняти код, зазначений в листі, який надійшов на електрону адресу в загальному еквіваленті 1000 (одна тисяча) гривень (2 сертифікати номіналом по 500 (п’ятсот) гривень)</w:t>
      </w:r>
    </w:p>
    <w:p w:rsidR="009F3719" w:rsidRPr="00626187" w:rsidRDefault="005F20EE">
      <w:pPr>
        <w:tabs>
          <w:tab w:val="left" w:pos="142"/>
          <w:tab w:val="left" w:pos="426"/>
          <w:tab w:val="left" w:pos="567"/>
          <w:tab w:val="left" w:pos="709"/>
        </w:tabs>
        <w:spacing w:line="288" w:lineRule="auto"/>
        <w:jc w:val="both"/>
        <w:rPr>
          <w:lang w:val="uk-UA"/>
        </w:rPr>
      </w:pPr>
      <w:bookmarkStart w:id="1" w:name="_30j0zll" w:colFirst="0" w:colLast="0"/>
      <w:bookmarkStart w:id="2" w:name="gjdgxs" w:colFirst="0" w:colLast="0"/>
      <w:bookmarkEnd w:id="1"/>
      <w:bookmarkEnd w:id="2"/>
      <w:r w:rsidRPr="00626187">
        <w:rPr>
          <w:rFonts w:ascii="Times New Roman" w:eastAsia="Times New Roman" w:hAnsi="Times New Roman" w:cs="Times New Roman"/>
          <w:b/>
          <w:sz w:val="24"/>
          <w:szCs w:val="24"/>
          <w:lang w:val="uk-UA"/>
        </w:rPr>
        <w:t>4.3.</w:t>
      </w:r>
      <w:r w:rsidRPr="00626187">
        <w:rPr>
          <w:rFonts w:ascii="Times New Roman" w:eastAsia="Times New Roman" w:hAnsi="Times New Roman" w:cs="Times New Roman"/>
          <w:sz w:val="24"/>
          <w:szCs w:val="24"/>
          <w:lang w:val="uk-UA"/>
        </w:rPr>
        <w:t xml:space="preserve"> Якщо Учасник, який отримав право на отримання Головного Заохочення Акції, не виконав всіх умов цих Правил, він вважається таким, який втратив статус Переможця Акції та не має права на отримання Головного Заохочення. </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4.4.</w:t>
      </w:r>
      <w:r w:rsidRPr="00626187">
        <w:rPr>
          <w:rFonts w:ascii="Times New Roman" w:eastAsia="Times New Roman" w:hAnsi="Times New Roman" w:cs="Times New Roman"/>
          <w:sz w:val="24"/>
          <w:szCs w:val="24"/>
          <w:lang w:val="uk-UA"/>
        </w:rPr>
        <w:t xml:space="preserve"> Результати визначення Переможця Акції, який здобуває право на отримання Головного Заохочення Акції, є остаточними й оскарженню не підлягають. </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4.5.</w:t>
      </w:r>
      <w:r w:rsidRPr="00626187">
        <w:rPr>
          <w:rFonts w:ascii="Times New Roman" w:eastAsia="Times New Roman" w:hAnsi="Times New Roman" w:cs="Times New Roman"/>
          <w:sz w:val="24"/>
          <w:szCs w:val="24"/>
          <w:lang w:val="uk-UA"/>
        </w:rPr>
        <w:t xml:space="preserve"> Замовник Акції залишає за собою право перенести дату визначення Переможців Акції, повідомивши Учасників про це на Інтернет-сайті www.ukrgasbank.com </w:t>
      </w:r>
    </w:p>
    <w:p w:rsidR="009F3719" w:rsidRPr="00626187" w:rsidRDefault="009F3719">
      <w:pPr>
        <w:tabs>
          <w:tab w:val="left" w:pos="142"/>
          <w:tab w:val="left" w:pos="426"/>
          <w:tab w:val="left" w:pos="567"/>
          <w:tab w:val="left" w:pos="709"/>
        </w:tabs>
        <w:spacing w:line="288" w:lineRule="auto"/>
        <w:jc w:val="both"/>
        <w:rPr>
          <w:lang w:val="uk-UA"/>
        </w:rPr>
      </w:pP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 Інші умови</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5.1.</w:t>
      </w:r>
      <w:r w:rsidRPr="00626187">
        <w:rPr>
          <w:rFonts w:ascii="Times New Roman" w:eastAsia="Times New Roman" w:hAnsi="Times New Roman" w:cs="Times New Roman"/>
          <w:sz w:val="24"/>
          <w:szCs w:val="24"/>
          <w:lang w:val="uk-UA"/>
        </w:rPr>
        <w:t xml:space="preserve"> Участь в Акції автоматично означає факт ознайомлення та повну і безумовну згоду Учасника Акції з даними офіційними правилами Акції. Порушення Учасником </w:t>
      </w:r>
      <w:r w:rsidRPr="00626187">
        <w:rPr>
          <w:rFonts w:ascii="Times New Roman" w:eastAsia="Times New Roman" w:hAnsi="Times New Roman" w:cs="Times New Roman"/>
          <w:sz w:val="24"/>
          <w:szCs w:val="24"/>
          <w:lang w:val="uk-UA"/>
        </w:rPr>
        <w:lastRenderedPageBreak/>
        <w:t>Акції/Переможцем Акції цих Правил або відмова Учасника Акції/Переможця Акції від належного виконання умов цих Правил вважається відмовою Учасника Акції/Переможця Акції від участі в Акції та отримання Заохочення/Головного Заохочення Акції, при цьому така особа не має права на одержання від Замовника/Виконавця та/або залучених ними третіх осіб будь-якої компенсації. Грошовий еквівалент Головного Заохочення Акції не видається.</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w:t>
      </w:r>
      <w:r w:rsidRPr="00626187">
        <w:rPr>
          <w:rFonts w:ascii="Times New Roman" w:eastAsia="Times New Roman" w:hAnsi="Times New Roman" w:cs="Times New Roman"/>
          <w:sz w:val="24"/>
          <w:szCs w:val="24"/>
          <w:lang w:val="uk-UA"/>
        </w:rPr>
        <w:t xml:space="preserve"> На виконання умов Закону України «Про захист персональних даних» Учасникам Акції повідомляється:</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5.2.1.</w:t>
      </w:r>
      <w:r w:rsidRPr="00626187">
        <w:rPr>
          <w:rFonts w:ascii="Times New Roman" w:eastAsia="Times New Roman" w:hAnsi="Times New Roman" w:cs="Times New Roman"/>
          <w:sz w:val="24"/>
          <w:szCs w:val="24"/>
          <w:lang w:val="uk-UA"/>
        </w:rPr>
        <w:t xml:space="preserve"> Володільцем персональних даних Учасників Акції/Переможця Акції є Замовник;</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5.2.2.</w:t>
      </w:r>
      <w:r w:rsidRPr="00626187">
        <w:rPr>
          <w:rFonts w:ascii="Times New Roman" w:eastAsia="Times New Roman" w:hAnsi="Times New Roman" w:cs="Times New Roman"/>
          <w:sz w:val="24"/>
          <w:szCs w:val="24"/>
          <w:lang w:val="uk-UA"/>
        </w:rPr>
        <w:t xml:space="preserve"> Персональні дані Учасників Акції/ Переможця Акції обробляються з метою забезпечення участі в цій Акції, маркетингових відносин, рекламних відносин, податкових відносин та відносин у сфері бухгалтерського обліку;</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5.2.3.</w:t>
      </w:r>
      <w:r w:rsidRPr="00626187">
        <w:rPr>
          <w:rFonts w:ascii="Times New Roman" w:eastAsia="Times New Roman" w:hAnsi="Times New Roman" w:cs="Times New Roman"/>
          <w:sz w:val="24"/>
          <w:szCs w:val="24"/>
          <w:lang w:val="uk-UA"/>
        </w:rPr>
        <w:t xml:space="preserve"> З метою обробки персональних даних, обробляються ім’я, прізвище, по батькові, паспортні дані, контактний номер телефону, адреса електронної пошти;</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5.2.4.</w:t>
      </w:r>
      <w:r w:rsidRPr="00626187">
        <w:rPr>
          <w:rFonts w:ascii="Times New Roman" w:eastAsia="Times New Roman" w:hAnsi="Times New Roman" w:cs="Times New Roman"/>
          <w:sz w:val="24"/>
          <w:szCs w:val="24"/>
          <w:lang w:val="uk-UA"/>
        </w:rPr>
        <w:t xml:space="preserve"> З персональними даними будуть вчинятися наступні дії: збирання,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5.2.5.</w:t>
      </w:r>
      <w:r w:rsidRPr="00626187">
        <w:rPr>
          <w:rFonts w:ascii="Times New Roman" w:eastAsia="Times New Roman" w:hAnsi="Times New Roman" w:cs="Times New Roman"/>
          <w:sz w:val="24"/>
          <w:szCs w:val="24"/>
          <w:lang w:val="uk-UA"/>
        </w:rPr>
        <w:t xml:space="preserve"> Розпорядником персональних даних Учасників Акції/ Переможця Акції є Замовник, йому надаються всі права та покладаються всі обов’язки, які передбачені Законом;</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5.2.6.</w:t>
      </w:r>
      <w:r w:rsidRPr="00626187">
        <w:rPr>
          <w:rFonts w:ascii="Times New Roman" w:eastAsia="Times New Roman" w:hAnsi="Times New Roman" w:cs="Times New Roman"/>
          <w:sz w:val="24"/>
          <w:szCs w:val="24"/>
          <w:lang w:val="uk-UA"/>
        </w:rPr>
        <w:t xml:space="preserve"> Персональні дані Учасників Акції/Переможця Акції без отримання від них окремої згоди та/або повідомлення їх можуть бути передані третім особам для здійснення мети, яка вказана у п. 5.2.2. цих Правил. Окрім того, передача третім особам персональних даних Учасників Акції/Переможця 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(якщо це необхідно) в інтересах національної безпеки, економічного добробуту та прав людини; </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5.2.7.</w:t>
      </w:r>
      <w:r w:rsidRPr="00626187">
        <w:rPr>
          <w:rFonts w:ascii="Times New Roman" w:eastAsia="Times New Roman" w:hAnsi="Times New Roman" w:cs="Times New Roman"/>
          <w:sz w:val="24"/>
          <w:szCs w:val="24"/>
          <w:lang w:val="uk-UA"/>
        </w:rPr>
        <w:t xml:space="preserve"> Персональні дані Учасників Акції будуть оброблятися з моменту їх отримання та протягом Періоду проведення Акції, після чого вони будуть знищені Виконавцем у зв’язку із закінченням строку зберігання персональних даних. Персональні дані Переможців Акції будуть зберігатися протягом терміну, який передбачено законодавством України для виконання мети, яка вказана у п. 5.2.2. цих Правих, після чого вони будуть знищені у зв’язку із закінченням строку зберігання персональних даних.</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5.2.8.</w:t>
      </w:r>
      <w:r w:rsidRPr="00626187">
        <w:rPr>
          <w:rFonts w:ascii="Times New Roman" w:eastAsia="Times New Roman" w:hAnsi="Times New Roman" w:cs="Times New Roman"/>
          <w:sz w:val="24"/>
          <w:szCs w:val="24"/>
          <w:lang w:val="uk-UA"/>
        </w:rPr>
        <w:t xml:space="preserve"> Учасники Акції/ Переможець Акції можуть відкликати згоду на обробку своїх персональних даних письмово надіславши Володільцю персональних даних  запит на адресу, яка вказана у цих Правилах, але при цьому вони втратять право на участь в Акції/отримання Головного Заохочення Акції. </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5.2.9.</w:t>
      </w:r>
      <w:r w:rsidRPr="00626187">
        <w:rPr>
          <w:rFonts w:ascii="Times New Roman" w:eastAsia="Times New Roman" w:hAnsi="Times New Roman" w:cs="Times New Roman"/>
          <w:sz w:val="24"/>
          <w:szCs w:val="24"/>
          <w:lang w:val="uk-UA"/>
        </w:rPr>
        <w:t xml:space="preserve"> Учасники Акції/ Переможець Акції володіють всіма правами передбаченими статтею 8  Закону України «Про захист персональних даних».</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5.3.</w:t>
      </w:r>
      <w:r w:rsidRPr="00626187">
        <w:rPr>
          <w:rFonts w:ascii="Times New Roman" w:eastAsia="Times New Roman" w:hAnsi="Times New Roman" w:cs="Times New Roman"/>
          <w:sz w:val="24"/>
          <w:szCs w:val="24"/>
          <w:lang w:val="uk-UA"/>
        </w:rPr>
        <w:t xml:space="preserve"> Беручи участь у цій Акції, кожен Учасник Акції/Переможець Акції надає згоду Виконавцю  на обробку його персональних даних  в об’ємі та на умовах, які вказані у п.5.2. цих Правил.</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lastRenderedPageBreak/>
        <w:t>5.4.</w:t>
      </w:r>
      <w:r w:rsidRPr="00626187">
        <w:rPr>
          <w:rFonts w:ascii="Times New Roman" w:eastAsia="Times New Roman" w:hAnsi="Times New Roman" w:cs="Times New Roman"/>
          <w:sz w:val="24"/>
          <w:szCs w:val="24"/>
          <w:lang w:val="uk-UA"/>
        </w:rPr>
        <w:t xml:space="preserve"> Замовник/Виконавець Акції не несе відповідальності у разі настання обставин непереборної сили, таких як стихійні лиха, пожежа, повінь, військові дії будь-якого характеру, блокади, суттєві зміни у законодавстві, що діє на території проведення Акції, інші непідвладні контролю з боку Замовника/Виконавця Акції обставини.</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5.5.</w:t>
      </w:r>
      <w:r w:rsidRPr="00626187">
        <w:rPr>
          <w:rFonts w:ascii="Times New Roman" w:eastAsia="Times New Roman" w:hAnsi="Times New Roman" w:cs="Times New Roman"/>
          <w:sz w:val="24"/>
          <w:szCs w:val="24"/>
          <w:lang w:val="uk-UA"/>
        </w:rPr>
        <w:t xml:space="preserve"> Учасники Акції мають право на отримання Головного Заохочення Акції тільки у випадку, якщо ними було дотримано всі вимоги цих Правил. </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5.6.</w:t>
      </w:r>
      <w:r w:rsidRPr="00626187">
        <w:rPr>
          <w:rFonts w:ascii="Times New Roman" w:eastAsia="Times New Roman" w:hAnsi="Times New Roman" w:cs="Times New Roman"/>
          <w:sz w:val="24"/>
          <w:szCs w:val="24"/>
          <w:lang w:val="uk-UA"/>
        </w:rPr>
        <w:t xml:space="preserve"> У випадку виникнення ситуації, що допускає неоднозначне тлумачення цих Правил та/або питань, не урегульованих цими Правилами, остаточне рішення приймається Замовником Акції відповідно до вимог чинного законодавства України. При цьому рішення Замовника Акції є остаточним і не підлягає оскарженню. </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 xml:space="preserve">5.7. </w:t>
      </w:r>
      <w:r w:rsidRPr="00626187">
        <w:rPr>
          <w:rFonts w:ascii="Times New Roman" w:eastAsia="Times New Roman" w:hAnsi="Times New Roman" w:cs="Times New Roman"/>
          <w:sz w:val="24"/>
          <w:szCs w:val="24"/>
          <w:lang w:val="uk-UA"/>
        </w:rPr>
        <w:t>Виконавець/Замовник/Партнер не несуть відповідальності за неотримання Переможцем Головного Заохочення Акції з причин, незалежних від Виконавця/Замовника/Партнера.</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5.8.</w:t>
      </w:r>
      <w:r w:rsidRPr="00626187">
        <w:rPr>
          <w:rFonts w:ascii="Times New Roman" w:eastAsia="Times New Roman" w:hAnsi="Times New Roman" w:cs="Times New Roman"/>
          <w:sz w:val="24"/>
          <w:szCs w:val="24"/>
          <w:lang w:val="uk-UA"/>
        </w:rPr>
        <w:t xml:space="preserve"> У разі відмови Переможця Акції від отримання ним Головного Заохочення Акції будь-які претензії Переможця Акції з цього приводу не приймаються і не розглядаються Замовником/Виконавцем/Партнером.</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5.9.</w:t>
      </w:r>
      <w:r w:rsidRPr="00626187">
        <w:rPr>
          <w:rFonts w:ascii="Times New Roman" w:eastAsia="Times New Roman" w:hAnsi="Times New Roman" w:cs="Times New Roman"/>
          <w:sz w:val="24"/>
          <w:szCs w:val="24"/>
          <w:lang w:val="uk-UA"/>
        </w:rPr>
        <w:t xml:space="preserve"> Під час проведення Акції чи після її закінчення, Виконавець/Замовник/Партнер не зобов’язані вести переписку  з потенційними учасниками і надавати пояснення в усній чи письмовій формі з питань, що стосуються умов проведення, визначення Переможців Акції на умовах Акції, чи будь-яких інших подібних питань щодо даної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5.10.</w:t>
      </w:r>
      <w:r w:rsidRPr="00626187">
        <w:rPr>
          <w:rFonts w:ascii="Times New Roman" w:eastAsia="Times New Roman" w:hAnsi="Times New Roman" w:cs="Times New Roman"/>
          <w:sz w:val="24"/>
          <w:szCs w:val="24"/>
          <w:lang w:val="uk-UA"/>
        </w:rPr>
        <w:t xml:space="preserve"> Замовник Акції має право внести зміни до умов даних Правил шляхом розміщення нової редакції правил на Сайті Акції. Правила затверджені Замовником Акції та діють протягом тривалості Акції.</w:t>
      </w:r>
    </w:p>
    <w:p w:rsidR="009F3719" w:rsidRPr="00626187" w:rsidRDefault="005F20EE">
      <w:pPr>
        <w:tabs>
          <w:tab w:val="left" w:pos="142"/>
          <w:tab w:val="left" w:pos="426"/>
          <w:tab w:val="left" w:pos="567"/>
          <w:tab w:val="left" w:pos="709"/>
        </w:tabs>
        <w:spacing w:line="288" w:lineRule="auto"/>
        <w:jc w:val="both"/>
        <w:rPr>
          <w:lang w:val="uk-UA"/>
        </w:rPr>
      </w:pPr>
      <w:r w:rsidRPr="00626187">
        <w:rPr>
          <w:rFonts w:ascii="Times New Roman" w:eastAsia="Times New Roman" w:hAnsi="Times New Roman" w:cs="Times New Roman"/>
          <w:b/>
          <w:sz w:val="24"/>
          <w:szCs w:val="24"/>
          <w:lang w:val="uk-UA"/>
        </w:rPr>
        <w:t>5.11.</w:t>
      </w:r>
      <w:r w:rsidRPr="00626187">
        <w:rPr>
          <w:rFonts w:ascii="Times New Roman" w:eastAsia="Times New Roman" w:hAnsi="Times New Roman" w:cs="Times New Roman"/>
          <w:sz w:val="24"/>
          <w:szCs w:val="24"/>
          <w:lang w:val="uk-UA"/>
        </w:rPr>
        <w:t xml:space="preserve"> Виконавець має право залучати до проведення окремих частин Акції третіх осіб</w:t>
      </w:r>
    </w:p>
    <w:p w:rsidR="009F3719" w:rsidRPr="00626187" w:rsidRDefault="009F3719">
      <w:pPr>
        <w:tabs>
          <w:tab w:val="left" w:pos="142"/>
          <w:tab w:val="left" w:pos="426"/>
          <w:tab w:val="left" w:pos="567"/>
          <w:tab w:val="left" w:pos="709"/>
        </w:tabs>
        <w:spacing w:line="288" w:lineRule="auto"/>
        <w:jc w:val="both"/>
        <w:rPr>
          <w:lang w:val="uk-UA"/>
        </w:rPr>
      </w:pPr>
    </w:p>
    <w:p w:rsidR="009F3719" w:rsidRPr="00626187" w:rsidRDefault="009F3719">
      <w:pPr>
        <w:spacing w:line="240" w:lineRule="auto"/>
        <w:jc w:val="both"/>
        <w:rPr>
          <w:lang w:val="uk-UA"/>
        </w:rPr>
      </w:pPr>
    </w:p>
    <w:p w:rsidR="009F3719" w:rsidRPr="00626187" w:rsidRDefault="009F3719">
      <w:pPr>
        <w:spacing w:line="288" w:lineRule="auto"/>
        <w:jc w:val="both"/>
        <w:rPr>
          <w:lang w:val="uk-UA"/>
        </w:rPr>
      </w:pPr>
    </w:p>
    <w:p w:rsidR="00626187" w:rsidRPr="00626187" w:rsidRDefault="00626187">
      <w:pPr>
        <w:spacing w:line="288" w:lineRule="auto"/>
        <w:jc w:val="both"/>
        <w:rPr>
          <w:lang w:val="uk-UA"/>
        </w:rPr>
      </w:pPr>
    </w:p>
    <w:sectPr w:rsidR="00626187" w:rsidRPr="00626187">
      <w:pgSz w:w="11909" w:h="16834"/>
      <w:pgMar w:top="880" w:right="1440"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9F3719"/>
    <w:rsid w:val="0052467B"/>
    <w:rsid w:val="005B5C80"/>
    <w:rsid w:val="005F20EE"/>
    <w:rsid w:val="00615738"/>
    <w:rsid w:val="00626187"/>
    <w:rsid w:val="009F3719"/>
    <w:rsid w:val="00E92A5D"/>
    <w:rsid w:val="00EE46CB"/>
    <w:rsid w:val="00FD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EE46CB"/>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EE46CB"/>
    <w:rPr>
      <w:rFonts w:ascii="Times New Roman" w:hAnsi="Times New Roman" w:cs="Times New Roman"/>
      <w:sz w:val="18"/>
      <w:szCs w:val="18"/>
    </w:rPr>
  </w:style>
  <w:style w:type="paragraph" w:styleId="aa">
    <w:name w:val="annotation subject"/>
    <w:basedOn w:val="a5"/>
    <w:next w:val="a5"/>
    <w:link w:val="ab"/>
    <w:uiPriority w:val="99"/>
    <w:semiHidden/>
    <w:unhideWhenUsed/>
    <w:rsid w:val="00EE46CB"/>
    <w:rPr>
      <w:b/>
      <w:bCs/>
      <w:sz w:val="20"/>
      <w:szCs w:val="20"/>
    </w:rPr>
  </w:style>
  <w:style w:type="character" w:customStyle="1" w:styleId="ab">
    <w:name w:val="Тема примечания Знак"/>
    <w:basedOn w:val="a6"/>
    <w:link w:val="aa"/>
    <w:uiPriority w:val="99"/>
    <w:semiHidden/>
    <w:rsid w:val="00EE46CB"/>
    <w:rPr>
      <w:b/>
      <w:bCs/>
      <w:sz w:val="20"/>
      <w:szCs w:val="20"/>
    </w:rPr>
  </w:style>
  <w:style w:type="character" w:styleId="ac">
    <w:name w:val="Hyperlink"/>
    <w:basedOn w:val="a0"/>
    <w:rsid w:val="005B5C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EE46CB"/>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EE46CB"/>
    <w:rPr>
      <w:rFonts w:ascii="Times New Roman" w:hAnsi="Times New Roman" w:cs="Times New Roman"/>
      <w:sz w:val="18"/>
      <w:szCs w:val="18"/>
    </w:rPr>
  </w:style>
  <w:style w:type="paragraph" w:styleId="aa">
    <w:name w:val="annotation subject"/>
    <w:basedOn w:val="a5"/>
    <w:next w:val="a5"/>
    <w:link w:val="ab"/>
    <w:uiPriority w:val="99"/>
    <w:semiHidden/>
    <w:unhideWhenUsed/>
    <w:rsid w:val="00EE46CB"/>
    <w:rPr>
      <w:b/>
      <w:bCs/>
      <w:sz w:val="20"/>
      <w:szCs w:val="20"/>
    </w:rPr>
  </w:style>
  <w:style w:type="character" w:customStyle="1" w:styleId="ab">
    <w:name w:val="Тема примечания Знак"/>
    <w:basedOn w:val="a6"/>
    <w:link w:val="aa"/>
    <w:uiPriority w:val="99"/>
    <w:semiHidden/>
    <w:rsid w:val="00EE46CB"/>
    <w:rPr>
      <w:b/>
      <w:bCs/>
      <w:sz w:val="20"/>
      <w:szCs w:val="20"/>
    </w:rPr>
  </w:style>
  <w:style w:type="character" w:styleId="ac">
    <w:name w:val="Hyperlink"/>
    <w:basedOn w:val="a0"/>
    <w:rsid w:val="005B5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krgasbank.com/private/card_and_current_accounts/domovychok/" TargetMode="External"/><Relationship Id="rId3" Type="http://schemas.openxmlformats.org/officeDocument/2006/relationships/settings" Target="settings.xml"/><Relationship Id="rId7" Type="http://schemas.openxmlformats.org/officeDocument/2006/relationships/hyperlink" Target="http://www.ukrgasbank.com/m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krgasbank.com/private/card_and_current_accounts/domovychok/" TargetMode="External"/><Relationship Id="rId5" Type="http://schemas.openxmlformats.org/officeDocument/2006/relationships/hyperlink" Target="http://www.ukrgasbank.com/m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Дем'яненко Алла Леонідівна</dc:creator>
  <cp:lastModifiedBy>Остапчук Тетяна Володимирівна</cp:lastModifiedBy>
  <cp:revision>3</cp:revision>
  <dcterms:created xsi:type="dcterms:W3CDTF">2016-11-30T15:28:00Z</dcterms:created>
  <dcterms:modified xsi:type="dcterms:W3CDTF">2016-11-30T15:29:00Z</dcterms:modified>
</cp:coreProperties>
</file>