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14"/>
        <w:gridCol w:w="8817"/>
      </w:tblGrid>
      <w:tr w:rsidR="00475950" w:rsidRPr="004B2EBD" w14:paraId="0ADC8B88" w14:textId="77777777">
        <w:tc>
          <w:tcPr>
            <w:tcW w:w="1214" w:type="dxa"/>
          </w:tcPr>
          <w:p w14:paraId="79DC7765" w14:textId="77777777" w:rsidR="00475950" w:rsidRPr="00362AB7" w:rsidRDefault="00475950" w:rsidP="00362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17" w:type="dxa"/>
          </w:tcPr>
          <w:p w14:paraId="4AD4D96D" w14:textId="77777777" w:rsidR="00475950" w:rsidRPr="004B2EBD" w:rsidRDefault="00036F48" w:rsidP="00362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77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ЗАТВЕРДЖЕНО</w:t>
            </w:r>
          </w:p>
          <w:p w14:paraId="62A5FB4B" w14:textId="77777777" w:rsidR="00475950" w:rsidRPr="004B2EBD" w:rsidRDefault="00036F48" w:rsidP="00362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77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Наглядової ради</w:t>
            </w:r>
          </w:p>
          <w:p w14:paraId="14A65E24" w14:textId="77777777" w:rsidR="00475950" w:rsidRPr="004B2EBD" w:rsidRDefault="00036F48" w:rsidP="00362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77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 «УКРГАЗБАНК»</w:t>
            </w:r>
          </w:p>
          <w:p w14:paraId="4D764226" w14:textId="11D9C49B" w:rsidR="00475950" w:rsidRPr="004B2EBD" w:rsidRDefault="00E6170C" w:rsidP="00362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77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 27.01</w:t>
            </w:r>
            <w:r w:rsidR="00036F48" w:rsidRPr="004B2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860BE" w:rsidRPr="004B2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2025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№4</w:t>
            </w:r>
            <w:r w:rsidR="00036F48" w:rsidRPr="004B2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CD4990D" w14:textId="77777777" w:rsidR="00475950" w:rsidRPr="004B2EBD" w:rsidRDefault="00036F48" w:rsidP="00362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77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Голова Наглядової ради</w:t>
            </w:r>
          </w:p>
          <w:p w14:paraId="13005B1F" w14:textId="77777777" w:rsidR="00475950" w:rsidRPr="004B2EBD" w:rsidRDefault="00036F48" w:rsidP="00362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77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 «УКРГАЗБАНК»</w:t>
            </w:r>
          </w:p>
          <w:p w14:paraId="0FB46E1C" w14:textId="77777777" w:rsidR="00475950" w:rsidRPr="004B2EBD" w:rsidRDefault="00475950" w:rsidP="00362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77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7F0E458" w14:textId="77777777" w:rsidR="00475950" w:rsidRPr="004B2EBD" w:rsidRDefault="00036F48" w:rsidP="00362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77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2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 Санела ПАШІЧ </w:t>
            </w:r>
          </w:p>
          <w:p w14:paraId="0F74B1FA" w14:textId="77777777" w:rsidR="00475950" w:rsidRPr="00362AB7" w:rsidRDefault="00475950" w:rsidP="00362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9E18D5D" w14:textId="77777777" w:rsidR="00475950" w:rsidRPr="00362AB7" w:rsidRDefault="00475950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F90206" w14:textId="2632C9FD" w:rsidR="00475950" w:rsidRDefault="00475950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57BB7F9" w14:textId="2EF301EC" w:rsidR="00E6170C" w:rsidRDefault="00E6170C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B9D7AB9" w14:textId="274FDED5" w:rsidR="00E6170C" w:rsidRDefault="00E6170C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E245411" w14:textId="77777777" w:rsidR="00E6170C" w:rsidRPr="00362AB7" w:rsidRDefault="00E6170C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14:paraId="27CF86D5" w14:textId="7C75B510" w:rsidR="00475950" w:rsidRPr="004B2EBD" w:rsidRDefault="00036F48" w:rsidP="004B2E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B2EB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Звіт Комітету Наглядової ради з питань розвитку інформаційних технологій АБ «УКРГАЗБАНК» про результати </w:t>
      </w:r>
      <w:r w:rsidR="006122B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діяльності</w:t>
      </w:r>
      <w:r w:rsidR="006122B1" w:rsidRPr="004B2EB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5F746D86" w14:textId="4AB0255E" w:rsidR="00475950" w:rsidRPr="004B2EBD" w:rsidRDefault="00036F48" w:rsidP="004B2E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B2EB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 202</w:t>
      </w:r>
      <w:r w:rsidR="009860BE" w:rsidRPr="004B2EB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4</w:t>
      </w:r>
      <w:r w:rsidRPr="004B2EB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рік</w:t>
      </w:r>
    </w:p>
    <w:p w14:paraId="109A86D9" w14:textId="77777777" w:rsidR="00475950" w:rsidRPr="00362AB7" w:rsidRDefault="00475950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33EC28" w14:textId="77777777" w:rsidR="00475950" w:rsidRPr="00362AB7" w:rsidRDefault="00475950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F76C49" w14:textId="5F84427D" w:rsidR="00475950" w:rsidRPr="00362AB7" w:rsidRDefault="00475950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01F760" w14:textId="77777777" w:rsidR="00475950" w:rsidRPr="00362AB7" w:rsidRDefault="00475950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7BE2F5" w14:textId="77777777" w:rsidR="00475950" w:rsidRPr="00362AB7" w:rsidRDefault="00475950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BEBCFB" w14:textId="77777777" w:rsidR="00475950" w:rsidRPr="00362AB7" w:rsidRDefault="00475950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6492D7" w14:textId="77777777" w:rsidR="00475950" w:rsidRPr="00362AB7" w:rsidRDefault="00475950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624202" w14:textId="77777777" w:rsidR="00475950" w:rsidRPr="00362AB7" w:rsidRDefault="00475950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8B22E4" w14:textId="77777777" w:rsidR="00475950" w:rsidRPr="00362AB7" w:rsidRDefault="00475950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C64856" w14:textId="1FFBCEED" w:rsidR="00475950" w:rsidRDefault="00475950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3E20FC" w14:textId="77777777" w:rsidR="004B2EBD" w:rsidRPr="00362AB7" w:rsidRDefault="004B2EBD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D1FE56" w14:textId="77777777" w:rsidR="00475950" w:rsidRPr="00362AB7" w:rsidRDefault="00475950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16DCB8" w14:textId="6296590B" w:rsidR="00475950" w:rsidRPr="00362AB7" w:rsidRDefault="00036F48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A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м. Київ </w:t>
      </w:r>
      <w:r w:rsidR="00FA5A26" w:rsidRPr="00362A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2025</w:t>
      </w:r>
    </w:p>
    <w:p w14:paraId="4A1E5084" w14:textId="77777777" w:rsidR="00475950" w:rsidRPr="004B2EBD" w:rsidRDefault="00475950" w:rsidP="00362AB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03B159" w14:textId="77777777" w:rsidR="00475950" w:rsidRPr="004B2EBD" w:rsidRDefault="00036F48" w:rsidP="00362AB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I.   Загальні відомості</w:t>
      </w:r>
    </w:p>
    <w:p w14:paraId="10B74B32" w14:textId="528220F2" w:rsidR="00475950" w:rsidRDefault="00036F48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 Наглядової ради з питань розвитку інформаційних технологій АБ «УКРГАЗБАНК» (далі</w:t>
      </w:r>
      <w:r w:rsidR="00362AB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6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</w:t>
      </w:r>
      <w:r w:rsidR="00362AB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C0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r w:rsidR="005C0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 ІТ</w:t>
      </w:r>
      <w:r w:rsidR="005C0710">
        <w:rPr>
          <w:rFonts w:ascii="Times New Roman" w:eastAsia="Times New Roman" w:hAnsi="Times New Roman" w:cs="Times New Roman"/>
          <w:color w:val="000000"/>
          <w:sz w:val="28"/>
          <w:szCs w:val="28"/>
        </w:rPr>
        <w:t>, Банк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створений згідно з рішенням Наглядової ради </w:t>
      </w:r>
      <w:r w:rsidR="005C0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Банку </w:t>
      </w:r>
      <w:r w:rsidR="0041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також – Рада) 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від 18.12.2018 (протокол №33), діє на підставі Положення про  Комітет Наглядової ради з питань розвитку інформаційних технологій АБ «УКРГАЗБАНК»</w:t>
      </w:r>
      <w:r w:rsidR="002D317B" w:rsidRPr="009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317B">
        <w:rPr>
          <w:rFonts w:ascii="Times New Roman" w:eastAsia="Times New Roman" w:hAnsi="Times New Roman" w:cs="Times New Roman"/>
          <w:color w:val="000000"/>
          <w:sz w:val="28"/>
          <w:szCs w:val="28"/>
        </w:rPr>
        <w:t>у новій редакції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затвердженого рішенням Наглядової ради </w:t>
      </w:r>
      <w:r w:rsidRPr="00362AB7">
        <w:rPr>
          <w:rFonts w:ascii="Times New Roman" w:eastAsia="Times New Roman" w:hAnsi="Times New Roman" w:cs="Times New Roman"/>
          <w:color w:val="000000"/>
          <w:sz w:val="28"/>
          <w:szCs w:val="28"/>
        </w:rPr>
        <w:t>від 0</w:t>
      </w:r>
      <w:r w:rsidR="00EE0CB5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7.02.2024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(протокол №3)</w:t>
      </w:r>
      <w:r w:rsidR="0041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- </w:t>
      </w:r>
      <w:r w:rsidR="0041351B" w:rsidRPr="0041351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 про Комітет ІТ</w:t>
      </w:r>
      <w:r w:rsidR="004135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59CD813" w14:textId="77777777" w:rsidR="004B2EBD" w:rsidRPr="004B2EBD" w:rsidRDefault="004B2EBD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CC88EA" w14:textId="77777777" w:rsidR="00475950" w:rsidRPr="004B2EBD" w:rsidRDefault="00036F48" w:rsidP="00362AB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II.   Персональний склад Комітету ІТ</w:t>
      </w:r>
    </w:p>
    <w:p w14:paraId="5BAD6B59" w14:textId="40565EF5" w:rsidR="00475950" w:rsidRPr="004B2EBD" w:rsidRDefault="00036F48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6440C9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році Комітет Наглядової ради з питань розвитку інформаційних технологій АБ «УКРГАЗБАНК» виконував свої обов’язки у складі:</w:t>
      </w:r>
    </w:p>
    <w:p w14:paraId="68C67A4E" w14:textId="66963B2E" w:rsidR="00475950" w:rsidRPr="004B2EBD" w:rsidRDefault="00036F48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 з рішенням Наглядової ради  від 05.05.2023 (протокол №20</w:t>
      </w:r>
      <w:r w:rsidR="004B2EBD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B2EBD" w:rsidRPr="004B2EBD">
        <w:rPr>
          <w:rFonts w:ascii="Times New Roman" w:hAnsi="Times New Roman" w:cs="Times New Roman"/>
          <w:color w:val="000000"/>
          <w:sz w:val="28"/>
          <w:szCs w:val="28"/>
        </w:rPr>
        <w:t xml:space="preserve"> питання </w:t>
      </w:r>
      <w:r w:rsidR="004B2EBD" w:rsidRPr="006122B1">
        <w:rPr>
          <w:rFonts w:ascii="Times New Roman" w:hAnsi="Times New Roman" w:cs="Times New Roman"/>
          <w:color w:val="000000"/>
          <w:sz w:val="28"/>
          <w:szCs w:val="28"/>
        </w:rPr>
        <w:t xml:space="preserve">четверте </w:t>
      </w:r>
      <w:r w:rsidR="004B2EBD" w:rsidRPr="004B2EBD">
        <w:rPr>
          <w:rFonts w:ascii="Times New Roman" w:hAnsi="Times New Roman" w:cs="Times New Roman"/>
          <w:color w:val="000000"/>
          <w:sz w:val="28"/>
          <w:szCs w:val="28"/>
        </w:rPr>
        <w:t>порядку денного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14:paraId="214EE1F2" w14:textId="77777777" w:rsidR="00475950" w:rsidRPr="004B2EBD" w:rsidRDefault="00036F48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Санела ПАШІЧ – Голова Комітету ІТ;</w:t>
      </w:r>
    </w:p>
    <w:p w14:paraId="6A3ED20F" w14:textId="2C693532" w:rsidR="00475950" w:rsidRPr="004B2EBD" w:rsidRDefault="00036F48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Марина ЛАЗЕБНА – член Комітету ІТ;</w:t>
      </w:r>
    </w:p>
    <w:p w14:paraId="070D7ECA" w14:textId="77777777" w:rsidR="00475950" w:rsidRPr="004B2EBD" w:rsidRDefault="00036F48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Юрій БЛАЩУК – член Комітету ІТ.   </w:t>
      </w:r>
    </w:p>
    <w:p w14:paraId="2BC5D018" w14:textId="5B2A7EB4" w:rsidR="00A25879" w:rsidRPr="004B2EBD" w:rsidRDefault="00A25879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згідно з рішенням Наглядової ради </w:t>
      </w:r>
      <w:r w:rsidR="006440C9" w:rsidRPr="00362AB7">
        <w:rPr>
          <w:rFonts w:ascii="Times New Roman" w:hAnsi="Times New Roman" w:cs="Times New Roman"/>
          <w:color w:val="000000" w:themeColor="text1"/>
          <w:sz w:val="28"/>
          <w:szCs w:val="28"/>
        </w:rPr>
        <w:t>від 07.02.2024 (протокол №3, питання тринадцяте порядку денного)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ECCF1D9" w14:textId="77777777" w:rsidR="00A25879" w:rsidRPr="004B2EBD" w:rsidRDefault="00A25879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440C9" w:rsidRPr="0036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Енріка РІМОЛДІ 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– Голова Комітету ІТ;</w:t>
      </w:r>
    </w:p>
    <w:p w14:paraId="7766F675" w14:textId="77777777" w:rsidR="00A25879" w:rsidRPr="004B2EBD" w:rsidRDefault="00A25879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Марина ЛАЗЕБНА – член Комітету ІТ;</w:t>
      </w:r>
    </w:p>
    <w:p w14:paraId="4A912353" w14:textId="07BC0974" w:rsidR="00A25879" w:rsidRPr="004B2EBD" w:rsidRDefault="00A25879" w:rsidP="00362AB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440C9" w:rsidRPr="00362AB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  <w:t xml:space="preserve">Іраклій ЕЛАШВІЛІ 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– член Комітету ІТ</w:t>
      </w:r>
      <w:r w:rsidR="007B41CA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D0512E6" w14:textId="53C354FF" w:rsidR="006440C9" w:rsidRPr="004B2EBD" w:rsidRDefault="006440C9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 з рішенням Наглядової ради від 11.11.2024 (протокол №39,</w:t>
      </w:r>
      <w:r w:rsidRPr="004B2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питання одинадцяте</w:t>
      </w:r>
      <w:r w:rsidR="00997237" w:rsidRPr="004B2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2EBD">
        <w:rPr>
          <w:rFonts w:ascii="Times New Roman" w:hAnsi="Times New Roman" w:cs="Times New Roman"/>
          <w:color w:val="000000" w:themeColor="text1"/>
          <w:sz w:val="28"/>
          <w:szCs w:val="28"/>
        </w:rPr>
        <w:t>порядку денного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14:paraId="06B2E30A" w14:textId="375E5321" w:rsidR="004C5312" w:rsidRPr="00362AB7" w:rsidRDefault="004C5312" w:rsidP="00362AB7">
      <w:pPr>
        <w:pStyle w:val="af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AB7">
        <w:rPr>
          <w:rFonts w:ascii="Times New Roman" w:eastAsia="Times New Roman" w:hAnsi="Times New Roman" w:cs="Times New Roman"/>
          <w:color w:val="000000"/>
          <w:sz w:val="28"/>
          <w:szCs w:val="28"/>
        </w:rPr>
        <w:t>Енріка РІМОЛДІ – Голова Комітету ІТ;</w:t>
      </w:r>
    </w:p>
    <w:p w14:paraId="17BCB62D" w14:textId="38A7F17B" w:rsidR="004C5312" w:rsidRPr="00362AB7" w:rsidRDefault="004C5312" w:rsidP="00362AB7">
      <w:pPr>
        <w:pStyle w:val="af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AB7">
        <w:rPr>
          <w:rFonts w:ascii="Times New Roman" w:eastAsia="Times New Roman" w:hAnsi="Times New Roman" w:cs="Times New Roman"/>
          <w:color w:val="000000"/>
          <w:sz w:val="28"/>
          <w:szCs w:val="28"/>
        </w:rPr>
        <w:t>Марина ЛАЗЕБНА – член Комітету ІТ;</w:t>
      </w:r>
    </w:p>
    <w:p w14:paraId="3DA59106" w14:textId="1DE7C305" w:rsidR="006440C9" w:rsidRPr="00362AB7" w:rsidRDefault="004C5312" w:rsidP="00362AB7">
      <w:pPr>
        <w:pStyle w:val="af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AB7">
        <w:rPr>
          <w:rFonts w:ascii="Times New Roman" w:eastAsia="Times New Roman" w:hAnsi="Times New Roman" w:cs="Times New Roman"/>
          <w:color w:val="000000"/>
          <w:sz w:val="28"/>
          <w:szCs w:val="28"/>
        </w:rPr>
        <w:t>Санела ПАШІЧ – член Комітету ІТ.</w:t>
      </w:r>
      <w:r w:rsidR="006440C9" w:rsidRPr="0036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3B96142" w14:textId="77777777" w:rsidR="00A25879" w:rsidRPr="004B2EBD" w:rsidRDefault="00A25879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D4DECB" w14:textId="77777777" w:rsidR="00475950" w:rsidRPr="004B2EBD" w:rsidRDefault="00036F48" w:rsidP="00362AB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III. Компетенція Комітету ІТ</w:t>
      </w:r>
    </w:p>
    <w:p w14:paraId="0673E5F8" w14:textId="77777777" w:rsidR="00475950" w:rsidRPr="0041351B" w:rsidRDefault="00036F48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51B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 з Положенням про Комітет ІТ до компетенції Комітету віднесено:</w:t>
      </w:r>
    </w:p>
    <w:p w14:paraId="12C138C5" w14:textId="77777777" w:rsidR="0041351B" w:rsidRPr="00362AB7" w:rsidRDefault="0041351B" w:rsidP="00362AB7">
      <w:pPr>
        <w:numPr>
          <w:ilvl w:val="2"/>
          <w:numId w:val="12"/>
        </w:numPr>
        <w:suppressAutoHyphens/>
        <w:autoSpaceDE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2AB7">
        <w:rPr>
          <w:rFonts w:ascii="Times New Roman" w:hAnsi="Times New Roman"/>
          <w:sz w:val="28"/>
          <w:szCs w:val="28"/>
        </w:rPr>
        <w:lastRenderedPageBreak/>
        <w:t>попередній розгляд питань та підготовка для Ради пропозицій щодо стратегічного розвитку та вдосконалення інформаційних технологій Банку, зокрема щодо цифрової автоматизації процесів, створення цифрової (</w:t>
      </w:r>
      <w:proofErr w:type="spellStart"/>
      <w:r w:rsidRPr="00362AB7">
        <w:rPr>
          <w:rFonts w:ascii="Times New Roman" w:hAnsi="Times New Roman"/>
          <w:sz w:val="28"/>
          <w:szCs w:val="28"/>
        </w:rPr>
        <w:t>діджітал</w:t>
      </w:r>
      <w:proofErr w:type="spellEnd"/>
      <w:r w:rsidRPr="00362AB7">
        <w:rPr>
          <w:rFonts w:ascii="Times New Roman" w:hAnsi="Times New Roman"/>
          <w:sz w:val="28"/>
          <w:szCs w:val="28"/>
        </w:rPr>
        <w:t>) стратегії Банку;</w:t>
      </w:r>
    </w:p>
    <w:p w14:paraId="19AB99D0" w14:textId="77777777" w:rsidR="0041351B" w:rsidRPr="00362AB7" w:rsidRDefault="0041351B" w:rsidP="00362AB7">
      <w:pPr>
        <w:numPr>
          <w:ilvl w:val="2"/>
          <w:numId w:val="12"/>
        </w:numPr>
        <w:suppressAutoHyphens/>
        <w:autoSpaceDE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2AB7">
        <w:rPr>
          <w:rFonts w:ascii="Times New Roman" w:hAnsi="Times New Roman"/>
          <w:sz w:val="28"/>
          <w:szCs w:val="28"/>
        </w:rPr>
        <w:t>моніторинг процесу впровадження цифрових технологій в Банку та підготовка відповідних матеріалів і звітів Раді з цих питань;</w:t>
      </w:r>
    </w:p>
    <w:p w14:paraId="67387589" w14:textId="77777777" w:rsidR="0041351B" w:rsidRPr="00362AB7" w:rsidRDefault="0041351B" w:rsidP="00362AB7">
      <w:pPr>
        <w:numPr>
          <w:ilvl w:val="2"/>
          <w:numId w:val="12"/>
        </w:numPr>
        <w:suppressAutoHyphens/>
        <w:autoSpaceDE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2AB7">
        <w:rPr>
          <w:rFonts w:ascii="Times New Roman" w:hAnsi="Times New Roman"/>
          <w:sz w:val="28"/>
          <w:szCs w:val="28"/>
        </w:rPr>
        <w:t xml:space="preserve">аналіз ефективності </w:t>
      </w:r>
      <w:r w:rsidRPr="00362AB7">
        <w:rPr>
          <w:rFonts w:ascii="Times New Roman" w:hAnsi="Times New Roman"/>
          <w:sz w:val="28"/>
          <w:szCs w:val="28"/>
          <w:lang w:val="en-US"/>
        </w:rPr>
        <w:t>IT</w:t>
      </w:r>
      <w:r w:rsidRPr="00362AB7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362AB7">
        <w:rPr>
          <w:rFonts w:ascii="Times New Roman" w:hAnsi="Times New Roman"/>
          <w:sz w:val="28"/>
          <w:szCs w:val="28"/>
        </w:rPr>
        <w:t>систем та процесів Банку;</w:t>
      </w:r>
    </w:p>
    <w:p w14:paraId="7C01F2B7" w14:textId="77777777" w:rsidR="0041351B" w:rsidRPr="00362AB7" w:rsidRDefault="0041351B" w:rsidP="00362AB7">
      <w:pPr>
        <w:numPr>
          <w:ilvl w:val="2"/>
          <w:numId w:val="12"/>
        </w:numPr>
        <w:suppressAutoHyphens/>
        <w:autoSpaceDE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2AB7">
        <w:rPr>
          <w:rFonts w:ascii="Times New Roman" w:hAnsi="Times New Roman"/>
          <w:sz w:val="28"/>
          <w:szCs w:val="28"/>
        </w:rPr>
        <w:t xml:space="preserve">аналіз та оцінка ресурсної бази Банку (включаючи інфраструктуру апаратного та програмного забезпечення, </w:t>
      </w:r>
      <w:proofErr w:type="spellStart"/>
      <w:r w:rsidRPr="00362AB7">
        <w:rPr>
          <w:rFonts w:ascii="Times New Roman" w:hAnsi="Times New Roman"/>
          <w:sz w:val="28"/>
          <w:szCs w:val="28"/>
        </w:rPr>
        <w:t>аутсорсинг</w:t>
      </w:r>
      <w:proofErr w:type="spellEnd"/>
      <w:r w:rsidRPr="00362AB7">
        <w:rPr>
          <w:rFonts w:ascii="Times New Roman" w:hAnsi="Times New Roman"/>
          <w:sz w:val="28"/>
          <w:szCs w:val="28"/>
        </w:rPr>
        <w:t>, кваліфікаційну підготовку персоналу тощо);</w:t>
      </w:r>
    </w:p>
    <w:p w14:paraId="71C95089" w14:textId="05E94125" w:rsidR="0041351B" w:rsidRPr="00362AB7" w:rsidRDefault="0041351B" w:rsidP="00362AB7">
      <w:pPr>
        <w:numPr>
          <w:ilvl w:val="2"/>
          <w:numId w:val="12"/>
        </w:numPr>
        <w:suppressAutoHyphens/>
        <w:autoSpaceDE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2AB7">
        <w:rPr>
          <w:rFonts w:ascii="Times New Roman" w:hAnsi="Times New Roman"/>
          <w:sz w:val="28"/>
          <w:szCs w:val="28"/>
        </w:rPr>
        <w:t>підготовка проектів рішень, внутрішніх документів Банку, їх попередній розгляд, проведення організаційних, технічних та інших заходів, пов’язаних із процесом здійснення Радою контролю стратегічного розвитку та вдосконалення інформаційних технологій Банку, визначених Положення</w:t>
      </w:r>
      <w:r>
        <w:rPr>
          <w:rFonts w:ascii="Times New Roman" w:hAnsi="Times New Roman"/>
          <w:sz w:val="28"/>
          <w:szCs w:val="28"/>
        </w:rPr>
        <w:t>м</w:t>
      </w:r>
      <w:r w:rsidR="006266C7" w:rsidRPr="00626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66C7" w:rsidRPr="0041351B">
        <w:rPr>
          <w:rFonts w:ascii="Times New Roman" w:eastAsia="Times New Roman" w:hAnsi="Times New Roman" w:cs="Times New Roman"/>
          <w:color w:val="000000"/>
          <w:sz w:val="28"/>
          <w:szCs w:val="28"/>
        </w:rPr>
        <w:t>про Комітет ІТ</w:t>
      </w:r>
      <w:r w:rsidRPr="00362AB7">
        <w:rPr>
          <w:rFonts w:ascii="Times New Roman" w:hAnsi="Times New Roman"/>
          <w:sz w:val="28"/>
          <w:szCs w:val="28"/>
        </w:rPr>
        <w:t>;</w:t>
      </w:r>
    </w:p>
    <w:p w14:paraId="532393ED" w14:textId="77777777" w:rsidR="0041351B" w:rsidRPr="00362AB7" w:rsidRDefault="0041351B" w:rsidP="00362AB7">
      <w:pPr>
        <w:numPr>
          <w:ilvl w:val="2"/>
          <w:numId w:val="12"/>
        </w:numPr>
        <w:suppressAutoHyphens/>
        <w:autoSpaceDE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2AB7">
        <w:rPr>
          <w:rFonts w:ascii="Times New Roman" w:hAnsi="Times New Roman"/>
          <w:sz w:val="28"/>
          <w:szCs w:val="28"/>
        </w:rPr>
        <w:t xml:space="preserve">здійснення перегляду існуючої інформаційної системи управління Банку в частині </w:t>
      </w:r>
      <w:r w:rsidRPr="00362AB7">
        <w:rPr>
          <w:rFonts w:ascii="Times New Roman" w:hAnsi="Times New Roman"/>
          <w:sz w:val="28"/>
          <w:szCs w:val="28"/>
          <w:lang w:val="en-US"/>
        </w:rPr>
        <w:t>IT</w:t>
      </w:r>
      <w:r w:rsidRPr="00362AB7">
        <w:rPr>
          <w:rFonts w:ascii="Times New Roman" w:hAnsi="Times New Roman"/>
          <w:sz w:val="28"/>
          <w:szCs w:val="28"/>
        </w:rPr>
        <w:t>-системи</w:t>
      </w:r>
      <w:r w:rsidRPr="00362AB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362AB7">
        <w:rPr>
          <w:rFonts w:ascii="Times New Roman" w:hAnsi="Times New Roman"/>
          <w:sz w:val="28"/>
          <w:szCs w:val="28"/>
          <w:lang w:val="ru-RU"/>
        </w:rPr>
        <w:t>операцій</w:t>
      </w:r>
      <w:proofErr w:type="spellEnd"/>
      <w:r w:rsidRPr="00362AB7">
        <w:rPr>
          <w:rFonts w:ascii="Times New Roman" w:hAnsi="Times New Roman"/>
          <w:sz w:val="28"/>
          <w:szCs w:val="28"/>
          <w:lang w:val="ru-RU"/>
        </w:rPr>
        <w:t xml:space="preserve"> Банку; </w:t>
      </w:r>
    </w:p>
    <w:p w14:paraId="16EEC431" w14:textId="77777777" w:rsidR="0041351B" w:rsidRPr="00362AB7" w:rsidRDefault="0041351B" w:rsidP="00362AB7">
      <w:pPr>
        <w:numPr>
          <w:ilvl w:val="2"/>
          <w:numId w:val="12"/>
        </w:numPr>
        <w:suppressAutoHyphens/>
        <w:autoSpaceDE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2AB7">
        <w:rPr>
          <w:rFonts w:ascii="Times New Roman" w:hAnsi="Times New Roman"/>
          <w:sz w:val="28"/>
          <w:szCs w:val="28"/>
        </w:rPr>
        <w:t>надання Раді Банку рекомендацій щодо зміни в рамках інформаційних панелей та ключових показників ефективності;</w:t>
      </w:r>
    </w:p>
    <w:p w14:paraId="60E93E27" w14:textId="77777777" w:rsidR="0041351B" w:rsidRPr="00362AB7" w:rsidRDefault="0041351B" w:rsidP="00362AB7">
      <w:pPr>
        <w:numPr>
          <w:ilvl w:val="2"/>
          <w:numId w:val="12"/>
        </w:numPr>
        <w:suppressAutoHyphens/>
        <w:autoSpaceDE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2AB7">
        <w:rPr>
          <w:rFonts w:ascii="Times New Roman" w:hAnsi="Times New Roman"/>
          <w:sz w:val="28"/>
          <w:szCs w:val="28"/>
          <w:lang w:val="ru-RU"/>
        </w:rPr>
        <w:t>здійснення</w:t>
      </w:r>
      <w:proofErr w:type="spellEnd"/>
      <w:r w:rsidRPr="00362AB7">
        <w:rPr>
          <w:rFonts w:ascii="Times New Roman" w:hAnsi="Times New Roman"/>
          <w:sz w:val="28"/>
          <w:szCs w:val="28"/>
          <w:lang w:val="ru-RU"/>
        </w:rPr>
        <w:t xml:space="preserve"> перегляду </w:t>
      </w:r>
      <w:proofErr w:type="spellStart"/>
      <w:r w:rsidRPr="00362AB7">
        <w:rPr>
          <w:rFonts w:ascii="Times New Roman" w:hAnsi="Times New Roman"/>
          <w:sz w:val="28"/>
          <w:szCs w:val="28"/>
          <w:lang w:val="ru-RU"/>
        </w:rPr>
        <w:t>договірних</w:t>
      </w:r>
      <w:proofErr w:type="spellEnd"/>
      <w:r w:rsidRPr="00362AB7">
        <w:rPr>
          <w:rFonts w:ascii="Times New Roman" w:hAnsi="Times New Roman"/>
          <w:sz w:val="28"/>
          <w:szCs w:val="28"/>
          <w:lang w:val="ru-RU"/>
        </w:rPr>
        <w:t xml:space="preserve"> умов та </w:t>
      </w:r>
      <w:proofErr w:type="spellStart"/>
      <w:r w:rsidRPr="00362AB7">
        <w:rPr>
          <w:rFonts w:ascii="Times New Roman" w:hAnsi="Times New Roman"/>
          <w:sz w:val="28"/>
          <w:szCs w:val="28"/>
          <w:lang w:val="ru-RU"/>
        </w:rPr>
        <w:t>зобовязань</w:t>
      </w:r>
      <w:proofErr w:type="spellEnd"/>
      <w:r w:rsidRPr="00362AB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62AB7">
        <w:rPr>
          <w:rFonts w:ascii="Times New Roman" w:hAnsi="Times New Roman"/>
          <w:sz w:val="28"/>
          <w:szCs w:val="28"/>
          <w:lang w:val="ru-RU"/>
        </w:rPr>
        <w:t>повязаних</w:t>
      </w:r>
      <w:proofErr w:type="spellEnd"/>
      <w:r w:rsidRPr="00362AB7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362AB7">
        <w:rPr>
          <w:rFonts w:ascii="Times New Roman" w:hAnsi="Times New Roman"/>
          <w:sz w:val="28"/>
          <w:szCs w:val="28"/>
          <w:lang w:val="ru-RU"/>
        </w:rPr>
        <w:t>послугами</w:t>
      </w:r>
      <w:proofErr w:type="spellEnd"/>
      <w:r w:rsidRPr="00362A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AB7">
        <w:rPr>
          <w:rFonts w:ascii="Times New Roman" w:hAnsi="Times New Roman"/>
          <w:sz w:val="28"/>
          <w:szCs w:val="28"/>
          <w:lang w:val="ru-RU"/>
        </w:rPr>
        <w:t>сторонніх</w:t>
      </w:r>
      <w:proofErr w:type="spellEnd"/>
      <w:r w:rsidRPr="00362A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AB7">
        <w:rPr>
          <w:rFonts w:ascii="Times New Roman" w:hAnsi="Times New Roman"/>
          <w:sz w:val="28"/>
          <w:szCs w:val="28"/>
          <w:lang w:val="ru-RU"/>
        </w:rPr>
        <w:t>організацій</w:t>
      </w:r>
      <w:proofErr w:type="spellEnd"/>
      <w:r w:rsidRPr="00362AB7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362AB7">
        <w:rPr>
          <w:rFonts w:ascii="Times New Roman" w:hAnsi="Times New Roman"/>
          <w:sz w:val="28"/>
          <w:szCs w:val="28"/>
          <w:lang w:val="ru-RU"/>
        </w:rPr>
        <w:t>сфері</w:t>
      </w:r>
      <w:proofErr w:type="spellEnd"/>
      <w:r w:rsidRPr="00362A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2AB7">
        <w:rPr>
          <w:rFonts w:ascii="Times New Roman" w:hAnsi="Times New Roman"/>
          <w:sz w:val="28"/>
          <w:szCs w:val="28"/>
          <w:lang w:val="en-US"/>
        </w:rPr>
        <w:t>IT</w:t>
      </w:r>
      <w:r w:rsidRPr="00362AB7">
        <w:rPr>
          <w:rFonts w:ascii="Times New Roman" w:hAnsi="Times New Roman"/>
          <w:sz w:val="28"/>
          <w:szCs w:val="28"/>
        </w:rPr>
        <w:t xml:space="preserve">-системам </w:t>
      </w:r>
      <w:r w:rsidRPr="00362AB7">
        <w:rPr>
          <w:rFonts w:ascii="Times New Roman" w:hAnsi="Times New Roman"/>
          <w:sz w:val="28"/>
          <w:szCs w:val="28"/>
          <w:lang w:val="ru-RU"/>
        </w:rPr>
        <w:t xml:space="preserve">та </w:t>
      </w:r>
      <w:proofErr w:type="spellStart"/>
      <w:r w:rsidRPr="00362AB7">
        <w:rPr>
          <w:rFonts w:ascii="Times New Roman" w:hAnsi="Times New Roman"/>
          <w:sz w:val="28"/>
          <w:szCs w:val="28"/>
          <w:lang w:val="ru-RU"/>
        </w:rPr>
        <w:t>операцій</w:t>
      </w:r>
      <w:proofErr w:type="spellEnd"/>
      <w:r w:rsidRPr="00362AB7">
        <w:rPr>
          <w:rFonts w:ascii="Times New Roman" w:hAnsi="Times New Roman"/>
          <w:sz w:val="28"/>
          <w:szCs w:val="28"/>
          <w:lang w:val="ru-RU"/>
        </w:rPr>
        <w:t xml:space="preserve"> Банку;</w:t>
      </w:r>
    </w:p>
    <w:p w14:paraId="2C9771D3" w14:textId="5F31474B" w:rsidR="00362AB7" w:rsidRPr="00362AB7" w:rsidRDefault="0041351B" w:rsidP="00362AB7">
      <w:pPr>
        <w:numPr>
          <w:ilvl w:val="2"/>
          <w:numId w:val="12"/>
        </w:numPr>
        <w:suppressAutoHyphens/>
        <w:autoSpaceDE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2AB7">
        <w:rPr>
          <w:rFonts w:ascii="Times New Roman" w:hAnsi="Times New Roman"/>
          <w:sz w:val="28"/>
          <w:szCs w:val="28"/>
        </w:rPr>
        <w:t>здійснення моніторингу звітів внутрішніх та зовнішніх аудиторів, пов’язаних з інформаційними технологіями Банку, інформаційною безпекою та операціями;</w:t>
      </w:r>
    </w:p>
    <w:p w14:paraId="359966F2" w14:textId="77777777" w:rsidR="0041351B" w:rsidRPr="00362AB7" w:rsidRDefault="0041351B" w:rsidP="00362AB7">
      <w:pPr>
        <w:numPr>
          <w:ilvl w:val="2"/>
          <w:numId w:val="12"/>
        </w:numPr>
        <w:suppressAutoHyphens/>
        <w:autoSpaceDE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2AB7">
        <w:rPr>
          <w:rFonts w:ascii="Times New Roman" w:hAnsi="Times New Roman"/>
          <w:sz w:val="28"/>
          <w:szCs w:val="28"/>
        </w:rPr>
        <w:t xml:space="preserve">звітування Комітету перед Радою щодо покладених на нього функцій. </w:t>
      </w:r>
    </w:p>
    <w:p w14:paraId="522A05E7" w14:textId="07A3B25F" w:rsidR="004B2EBD" w:rsidRPr="004B2EBD" w:rsidRDefault="004B2EBD" w:rsidP="00362AB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F62151" w14:textId="2DFE93B2" w:rsidR="00475950" w:rsidRPr="004B2EBD" w:rsidRDefault="00036F48" w:rsidP="00362AB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IV.   Результати </w:t>
      </w:r>
      <w:r w:rsidR="006122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діяльності </w:t>
      </w:r>
      <w:r w:rsidRPr="004B2E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Комітету ІТ  </w:t>
      </w:r>
    </w:p>
    <w:p w14:paraId="15691B29" w14:textId="1A74DB73" w:rsidR="00475950" w:rsidRPr="004B2EBD" w:rsidRDefault="00036F48" w:rsidP="00362A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Загалом Комітетом ІТ у </w:t>
      </w:r>
      <w:r w:rsidR="00D54962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році:</w:t>
      </w:r>
    </w:p>
    <w:p w14:paraId="7C43BBBF" w14:textId="667E2640" w:rsidR="00475950" w:rsidRPr="004B2EBD" w:rsidRDefault="00036F48" w:rsidP="00362A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проведено </w:t>
      </w:r>
      <w:r w:rsidR="00EE0CB5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засідання, з них </w:t>
      </w:r>
      <w:r w:rsidR="00EE0CB5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засідання у формі спільної присутності з використанням засобів електронного зв’язку (відео та/або голосова конференція) та 1 засідання у формі заочного голосування (методом опитування), </w:t>
      </w:r>
    </w:p>
    <w:p w14:paraId="4D869602" w14:textId="2C2BBD1C" w:rsidR="00475950" w:rsidRPr="00DF519C" w:rsidRDefault="00036F48" w:rsidP="00362A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9C">
        <w:rPr>
          <w:rFonts w:ascii="Times New Roman" w:eastAsia="Times New Roman" w:hAnsi="Times New Roman" w:cs="Times New Roman"/>
          <w:sz w:val="28"/>
          <w:szCs w:val="28"/>
        </w:rPr>
        <w:lastRenderedPageBreak/>
        <w:t>розглянуто 7 питань</w:t>
      </w:r>
      <w:r w:rsidR="00E4477A" w:rsidRPr="00DF519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67A2DAA" w14:textId="621DBBF7" w:rsidR="008878ED" w:rsidRPr="00DF519C" w:rsidRDefault="00036F48" w:rsidP="00362A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9C">
        <w:rPr>
          <w:rFonts w:ascii="Times New Roman" w:eastAsia="Times New Roman" w:hAnsi="Times New Roman" w:cs="Times New Roman"/>
          <w:sz w:val="28"/>
          <w:szCs w:val="28"/>
        </w:rPr>
        <w:t>надано</w:t>
      </w:r>
      <w:r w:rsidR="001D4942" w:rsidRPr="00DF519C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EE0CB5" w:rsidRPr="00DF5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942" w:rsidRPr="00DF519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E0CB5" w:rsidRPr="00DF519C">
        <w:rPr>
          <w:rFonts w:ascii="Times New Roman" w:eastAsia="Times New Roman" w:hAnsi="Times New Roman" w:cs="Times New Roman"/>
          <w:sz w:val="28"/>
          <w:szCs w:val="28"/>
        </w:rPr>
        <w:t xml:space="preserve">екомендацій </w:t>
      </w:r>
      <w:r w:rsidRPr="00DF519C">
        <w:rPr>
          <w:rFonts w:ascii="Times New Roman" w:eastAsia="Times New Roman" w:hAnsi="Times New Roman" w:cs="Times New Roman"/>
          <w:sz w:val="28"/>
          <w:szCs w:val="28"/>
        </w:rPr>
        <w:t>Наглядовій раді</w:t>
      </w:r>
      <w:r w:rsidR="00E4477A" w:rsidRPr="00DF519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966860" w14:textId="165EE2F6" w:rsidR="008878ED" w:rsidRPr="00DF519C" w:rsidRDefault="008878ED" w:rsidP="008878ED">
      <w:pPr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F519C">
        <w:rPr>
          <w:rFonts w:ascii="Times New Roman" w:hAnsi="Times New Roman"/>
          <w:sz w:val="28"/>
          <w:szCs w:val="28"/>
        </w:rPr>
        <w:t xml:space="preserve">надано 2 доручення, з яких: </w:t>
      </w:r>
    </w:p>
    <w:p w14:paraId="532EDB5B" w14:textId="2474EA59" w:rsidR="008878ED" w:rsidRPr="00DF519C" w:rsidRDefault="008878ED" w:rsidP="008878ED">
      <w:pPr>
        <w:spacing w:line="36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DF519C">
        <w:rPr>
          <w:rFonts w:ascii="Times New Roman" w:hAnsi="Times New Roman"/>
          <w:sz w:val="28"/>
          <w:szCs w:val="28"/>
        </w:rPr>
        <w:t xml:space="preserve">- 1 доручення - </w:t>
      </w:r>
      <w:r w:rsidRPr="00DF519C">
        <w:rPr>
          <w:rFonts w:ascii="Times New Roman" w:eastAsia="Times New Roman" w:hAnsi="Times New Roman" w:cs="Times New Roman"/>
          <w:sz w:val="28"/>
          <w:szCs w:val="28"/>
        </w:rPr>
        <w:t>Заступнику Голови Правління АБ «УКРГАЗБАНК» Андрію САМОХВАЛОВУ</w:t>
      </w:r>
      <w:r w:rsidRPr="00DF519C">
        <w:rPr>
          <w:rFonts w:ascii="Times New Roman" w:hAnsi="Times New Roman"/>
          <w:bCs/>
          <w:sz w:val="28"/>
          <w:szCs w:val="28"/>
        </w:rPr>
        <w:t xml:space="preserve">; </w:t>
      </w:r>
    </w:p>
    <w:p w14:paraId="3F359BE0" w14:textId="7ACA266C" w:rsidR="00475950" w:rsidRPr="00DF519C" w:rsidRDefault="008878ED" w:rsidP="008878ED">
      <w:p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9C">
        <w:rPr>
          <w:rFonts w:ascii="Times New Roman" w:hAnsi="Times New Roman"/>
          <w:bCs/>
          <w:sz w:val="28"/>
          <w:szCs w:val="28"/>
        </w:rPr>
        <w:t xml:space="preserve">- </w:t>
      </w:r>
      <w:r w:rsidRPr="00DF519C">
        <w:rPr>
          <w:rFonts w:ascii="Times New Roman" w:hAnsi="Times New Roman"/>
          <w:sz w:val="28"/>
          <w:szCs w:val="28"/>
        </w:rPr>
        <w:t xml:space="preserve">1 доручення - </w:t>
      </w:r>
      <w:r w:rsidRPr="00DF519C">
        <w:rPr>
          <w:rFonts w:ascii="Times New Roman" w:eastAsia="Times New Roman" w:hAnsi="Times New Roman" w:cs="Times New Roman"/>
          <w:sz w:val="28"/>
          <w:szCs w:val="28"/>
        </w:rPr>
        <w:t>Заступнику Голови Правління АБ «УКРГАЗБАНК» Тамарі САВОЩЕНКО.</w:t>
      </w:r>
    </w:p>
    <w:p w14:paraId="06A9AF5A" w14:textId="084B5D58" w:rsidR="00475950" w:rsidRPr="004B2EBD" w:rsidRDefault="00036F48" w:rsidP="00362A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19C">
        <w:rPr>
          <w:rFonts w:ascii="Times New Roman" w:eastAsia="Times New Roman" w:hAnsi="Times New Roman" w:cs="Times New Roman"/>
          <w:sz w:val="28"/>
          <w:szCs w:val="28"/>
        </w:rPr>
        <w:t xml:space="preserve">Комітетом ІТ у </w:t>
      </w:r>
      <w:r w:rsidR="00D54962" w:rsidRPr="00DF519C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Pr="00DF519C">
        <w:rPr>
          <w:rFonts w:ascii="Times New Roman" w:eastAsia="Times New Roman" w:hAnsi="Times New Roman" w:cs="Times New Roman"/>
          <w:sz w:val="28"/>
          <w:szCs w:val="28"/>
        </w:rPr>
        <w:t xml:space="preserve">році 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погоджено та рекомендовано Наглядовій раді:</w:t>
      </w:r>
    </w:p>
    <w:p w14:paraId="36B8D468" w14:textId="4E48BC67" w:rsidR="009C0727" w:rsidRPr="00362AB7" w:rsidRDefault="001D4942" w:rsidP="00362A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</w:t>
      </w:r>
      <w:r w:rsidR="00036F48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звіт Комітету Наглядової ради з питань розвитку інформаційних технологій АБ «УКРГАЗБАНК» про результати роботи за </w:t>
      </w:r>
      <w:r w:rsidR="00D54962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="00036F48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r w:rsidR="00AA2947" w:rsidRPr="004B2E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6BB962E9" w14:textId="79CE9513" w:rsidR="009C0727" w:rsidRPr="00362AB7" w:rsidRDefault="001D4942" w:rsidP="00362A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="009C0727" w:rsidRPr="0036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про </w:t>
      </w:r>
      <w:r w:rsidR="009C0727" w:rsidRPr="0036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Комітет Наглядової ради з питань розвитку інформаційних технологій «УКРГАЗБАНК» </w:t>
      </w:r>
      <w:r w:rsidR="009C0727" w:rsidRPr="00362A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новій редакції;</w:t>
      </w:r>
    </w:p>
    <w:p w14:paraId="0539F58A" w14:textId="117AA868" w:rsidR="001D4942" w:rsidRPr="00362AB7" w:rsidRDefault="001D4942" w:rsidP="00362A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AB7">
        <w:rPr>
          <w:rFonts w:ascii="Times New Roman" w:eastAsia="Times New Roman" w:hAnsi="Times New Roman" w:cs="Times New Roman"/>
          <w:color w:val="000000"/>
          <w:sz w:val="28"/>
          <w:szCs w:val="28"/>
        </w:rPr>
        <w:t>взяти до відома інформацію щодо статусу інформаційних технологій АБ «УКРГАЗБАНК» станом на 01.04.2024: стан, проекти та напрямки розвитку;</w:t>
      </w:r>
    </w:p>
    <w:p w14:paraId="299B65A4" w14:textId="0E6F8206" w:rsidR="001D4942" w:rsidRPr="00362AB7" w:rsidRDefault="001D4942" w:rsidP="00362A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AB7">
        <w:rPr>
          <w:rFonts w:ascii="Times New Roman" w:eastAsia="Times New Roman" w:hAnsi="Times New Roman" w:cs="Times New Roman"/>
          <w:color w:val="000000"/>
          <w:sz w:val="28"/>
          <w:szCs w:val="28"/>
        </w:rPr>
        <w:t>взяти до відома інформацію щодо статусу інформаційної безпеки АБ «УКРГАЗБАНК» станом на 01.04.2024: стратегія, проекти, виклики;</w:t>
      </w:r>
    </w:p>
    <w:p w14:paraId="66DBC62B" w14:textId="2C03CD60" w:rsidR="001D4942" w:rsidRPr="00362AB7" w:rsidRDefault="001D4942" w:rsidP="00362A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AB7">
        <w:rPr>
          <w:rFonts w:ascii="Times New Roman" w:eastAsia="Times New Roman" w:hAnsi="Times New Roman" w:cs="Times New Roman"/>
          <w:color w:val="000000"/>
          <w:sz w:val="28"/>
          <w:szCs w:val="28"/>
        </w:rPr>
        <w:t>взяти до відома звіт про розвиток інформаційних технологій АБ «УКРГАЗБАНК» за ІІ квартал 2024 року;</w:t>
      </w:r>
    </w:p>
    <w:p w14:paraId="28EA9ABE" w14:textId="14D0644F" w:rsidR="001D4942" w:rsidRPr="00362AB7" w:rsidRDefault="00591B19" w:rsidP="00362A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sz w:val="28"/>
          <w:szCs w:val="28"/>
          <w:lang w:eastAsia="en-GB"/>
        </w:rPr>
        <w:t>в</w:t>
      </w:r>
      <w:r w:rsidR="001D4942" w:rsidRPr="00362AB7">
        <w:rPr>
          <w:rFonts w:ascii="Times New Roman" w:eastAsia="Times New Roman" w:hAnsi="Times New Roman" w:cs="Times New Roman"/>
          <w:sz w:val="28"/>
          <w:szCs w:val="28"/>
          <w:lang w:eastAsia="en-GB"/>
        </w:rPr>
        <w:t>зяти до відома звіт про розвиток інформаційних технологій АБ «УКРГАЗБАНК» за ІІІ квартал 2024 року</w:t>
      </w:r>
      <w:r w:rsidRPr="004B2EBD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24177A2C" w14:textId="0433EE17" w:rsidR="00475950" w:rsidRPr="004B2EBD" w:rsidRDefault="00036F48" w:rsidP="00362A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Комітетом ІТ розглянуто інформацію:</w:t>
      </w:r>
    </w:p>
    <w:p w14:paraId="4138934C" w14:textId="17D83718" w:rsidR="00813DDA" w:rsidRPr="00362AB7" w:rsidRDefault="00813DDA" w:rsidP="00362AB7">
      <w:pPr>
        <w:pStyle w:val="af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2AB7">
        <w:rPr>
          <w:rFonts w:ascii="Times New Roman" w:eastAsia="Times New Roman" w:hAnsi="Times New Roman" w:cs="Times New Roman"/>
          <w:color w:val="000000"/>
          <w:sz w:val="28"/>
          <w:szCs w:val="28"/>
        </w:rPr>
        <w:t>щодо статусу інформаційних технологій АБ «УКРГАЗБАНК» станом на 01.04.2024: стан, проекти та напрямки розвитку;</w:t>
      </w:r>
    </w:p>
    <w:p w14:paraId="1B2501D2" w14:textId="50D0DAD3" w:rsidR="00813DDA" w:rsidRPr="00362AB7" w:rsidRDefault="00813DDA" w:rsidP="00362A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AB7">
        <w:rPr>
          <w:rFonts w:ascii="Times New Roman" w:eastAsia="Times New Roman" w:hAnsi="Times New Roman" w:cs="Times New Roman"/>
          <w:color w:val="000000"/>
          <w:sz w:val="28"/>
          <w:szCs w:val="28"/>
        </w:rPr>
        <w:t>щодо структури звіту, що надаватиметься на розгляд Комітету Наглядової ради з питань розвитку інформаційних технологій АБ «УКРГАЗБАНК», включаючи доповнення, запропоновані членами Комітету Наглядової ради з питань розвитку інформаційних технологій АБ «УКРГАЗБАНК»;</w:t>
      </w:r>
    </w:p>
    <w:p w14:paraId="207E2A30" w14:textId="5C36C25C" w:rsidR="00DD4796" w:rsidRPr="00362AB7" w:rsidRDefault="00DD4796" w:rsidP="00362AB7">
      <w:pPr>
        <w:pStyle w:val="af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AB7">
        <w:rPr>
          <w:rFonts w:ascii="Times New Roman" w:eastAsia="Times New Roman" w:hAnsi="Times New Roman" w:cs="Times New Roman"/>
          <w:color w:val="000000"/>
          <w:sz w:val="28"/>
          <w:szCs w:val="28"/>
        </w:rPr>
        <w:t>щодо статусу інформаційної безпеки АБ «УКРГАЗБАНК» станом на 01.04.2024: стратегія, проекти, виклики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3F030D" w14:textId="77777777" w:rsidR="00DD4796" w:rsidRPr="004B2EBD" w:rsidRDefault="00DD4796" w:rsidP="00362AB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CAA36CF" w14:textId="738B49E7" w:rsidR="00475950" w:rsidRPr="004B2EBD" w:rsidRDefault="00036F48" w:rsidP="00362AB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V.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2E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Ефективність методів і процедур</w:t>
      </w:r>
      <w:r w:rsidR="006122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діяльності </w:t>
      </w:r>
      <w:r w:rsidRPr="004B2E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Комітету ІТ.  </w:t>
      </w:r>
    </w:p>
    <w:p w14:paraId="09057FF7" w14:textId="419F1566" w:rsidR="00475950" w:rsidRPr="004B2EBD" w:rsidRDefault="00036F48" w:rsidP="00362A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 </w:t>
      </w:r>
      <w:r w:rsidR="00D54962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році Комітет ІТ використовував методи та процедури діяльності визначені в його Положенні, що дозволяло ефективно організувати процес реалізації покладених повноважень.</w:t>
      </w:r>
    </w:p>
    <w:p w14:paraId="330AD543" w14:textId="6B904987" w:rsidR="00475950" w:rsidRPr="004B2EBD" w:rsidRDefault="004B2EBD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</w:t>
      </w:r>
      <w:r w:rsidR="00362AB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6F48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Комітету ІТ</w:t>
      </w:r>
      <w:r w:rsidR="002D3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(Санела ПАШІЧ - до 07.02.2024, Енріка РІМОЛДІ – після 07.02.2024)</w:t>
      </w:r>
      <w:r w:rsidR="00036F48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склика</w:t>
      </w:r>
      <w:r w:rsidR="007B41CA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62AB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36F48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засідання Комітету ІТ у формі спільної присутності з використанням засобів електронного зв’язку (відео та/або голосова конференція) та у формі заочного голосування (методом опитування), головува</w:t>
      </w:r>
      <w:r w:rsidR="00362AB7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036F48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них, визнача</w:t>
      </w:r>
      <w:r w:rsidR="007B41CA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036F48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порядки денні засідань, забезпечува</w:t>
      </w:r>
      <w:r w:rsidR="007B41CA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036F48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їх дотримання, здійснюва</w:t>
      </w:r>
      <w:r w:rsidR="007B41CA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036F48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за вчасною розсилкою матеріалів стосовно питань порядку денного членам Комітету ІТ, організовува</w:t>
      </w:r>
      <w:r w:rsidR="007B41CA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036F48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ведення протоколів засідань та вчасне їх оформлення і доведення прийнятих рішень до Наглядової ради.</w:t>
      </w:r>
    </w:p>
    <w:p w14:paraId="41A43D76" w14:textId="5B5A6C8E" w:rsidR="00475950" w:rsidRPr="004B2EBD" w:rsidRDefault="00036F48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продуктивної роботи Комітету ІТ та всебічної підготовки до прийняття обґрунтованих рішень Голова та члени Комітету активно взаємодіяли з Правлінням Банку</w:t>
      </w:r>
      <w:r w:rsidR="007B41CA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та Наглядовою радою.</w:t>
      </w:r>
    </w:p>
    <w:p w14:paraId="54D6B4B4" w14:textId="37036046" w:rsidR="00475950" w:rsidRDefault="00036F48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Усі засідання Комітету ІТ у </w:t>
      </w:r>
      <w:r w:rsidR="00D54962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році відбулися за 100% присутності членів Комітету ІТ, що свідчить про відповідальне ставлення членів Комітету ІТ до виконання своїх обов’язків та належне виконання Головою повноважень з організації роботи Комітету ІТ.</w:t>
      </w:r>
    </w:p>
    <w:p w14:paraId="6D94A749" w14:textId="77777777" w:rsidR="004B2EBD" w:rsidRPr="004B2EBD" w:rsidRDefault="004B2EBD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A4409D" w14:textId="77777777" w:rsidR="00475950" w:rsidRPr="004B2EBD" w:rsidRDefault="00036F48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VI. Подальші плани</w:t>
      </w:r>
    </w:p>
    <w:p w14:paraId="314FA43F" w14:textId="77777777" w:rsidR="00475950" w:rsidRPr="004B2EBD" w:rsidRDefault="00036F48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подальшому Комітетом ІТ планується здійснювати свої повноваження, визначені Положенням про Комітет Наглядової ради з питань розвитку інформаційних технологій АБ «УКРГАЗБАНК» щодо здійснення контролю стратегічного розвитку та вдосконалення інформаційних технологій Банку, зокрема щодо цифрової автоматизації процесів, створення цифрової (</w:t>
      </w:r>
      <w:proofErr w:type="spellStart"/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діджітал</w:t>
      </w:r>
      <w:proofErr w:type="spellEnd"/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) стратегії Банку.</w:t>
      </w:r>
    </w:p>
    <w:p w14:paraId="575CDD3A" w14:textId="36DF256D" w:rsidR="00475950" w:rsidRPr="004B2EBD" w:rsidRDefault="00036F48" w:rsidP="00362A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Також, </w:t>
      </w:r>
      <w:r w:rsidR="00065723" w:rsidRPr="00D10FAE">
        <w:rPr>
          <w:rFonts w:ascii="Times New Roman" w:hAnsi="Times New Roman"/>
          <w:sz w:val="28"/>
          <w:szCs w:val="28"/>
        </w:rPr>
        <w:t>у 202</w:t>
      </w:r>
      <w:r w:rsidR="00065723" w:rsidRPr="00D10FAE">
        <w:rPr>
          <w:rFonts w:ascii="Times New Roman" w:hAnsi="Times New Roman"/>
          <w:sz w:val="28"/>
          <w:szCs w:val="28"/>
          <w:lang w:val="ru-RU"/>
        </w:rPr>
        <w:t>5</w:t>
      </w:r>
      <w:r w:rsidR="00065723" w:rsidRPr="00D10FAE">
        <w:rPr>
          <w:rFonts w:ascii="Times New Roman" w:hAnsi="Times New Roman"/>
          <w:sz w:val="28"/>
          <w:szCs w:val="28"/>
        </w:rPr>
        <w:t xml:space="preserve"> році 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Комітетом ІТ планується підготувати</w:t>
      </w:r>
      <w:r w:rsidR="00D10FA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065723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розглянути/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попередньо розглянути</w:t>
      </w:r>
      <w:r w:rsidR="00065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наступні звіти/документи/питання:</w:t>
      </w:r>
    </w:p>
    <w:p w14:paraId="209FD9D5" w14:textId="3750C4B5" w:rsidR="00475950" w:rsidRPr="004B2EBD" w:rsidRDefault="00036F48" w:rsidP="00362A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Звіт Комітету Наглядової ради з питань розвитку інформаційних технологій АБ «УКРГАЗБАНК» про результати </w:t>
      </w:r>
      <w:r w:rsidR="00612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діяльності 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D54962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рік;</w:t>
      </w:r>
    </w:p>
    <w:p w14:paraId="2C04BE54" w14:textId="4DBC557D" w:rsidR="00937D28" w:rsidRPr="004B2EBD" w:rsidRDefault="00937D28" w:rsidP="00937D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квартальні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FAB">
        <w:rPr>
          <w:rFonts w:ascii="Times New Roman" w:eastAsia="Times New Roman" w:hAnsi="Times New Roman" w:cs="Times New Roman"/>
          <w:color w:val="000000"/>
          <w:sz w:val="28"/>
          <w:szCs w:val="28"/>
        </w:rPr>
        <w:t>звіт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15FAB">
        <w:rPr>
          <w:rFonts w:ascii="Times New Roman" w:eastAsia="Times New Roman" w:hAnsi="Times New Roman" w:cs="Times New Roman"/>
          <w:color w:val="000000"/>
          <w:sz w:val="28"/>
          <w:szCs w:val="28"/>
        </w:rPr>
        <w:t>про розвиток інформац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ійних технологій АБ «УКРГАЗБАНК»;</w:t>
      </w:r>
    </w:p>
    <w:p w14:paraId="52B9D805" w14:textId="04BCCBCD" w:rsidR="00937D28" w:rsidRDefault="00937D28" w:rsidP="00362A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питання про необхідність здійснення перегляду </w:t>
      </w:r>
      <w:r w:rsidR="00036F48" w:rsidRPr="004B2EB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 про  Комітет Наглядової ради з питань розвитку інформаційних технологій АБ «УКРГАЗБАНК» у новій редакції</w:t>
      </w:r>
      <w:r w:rsidR="000657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F74791A" w14:textId="30971D8F" w:rsidR="00475950" w:rsidRPr="006B3846" w:rsidRDefault="00D10FAE" w:rsidP="00362AB7">
      <w:pPr>
        <w:pStyle w:val="af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846">
        <w:rPr>
          <w:rFonts w:ascii="Times New Roman" w:hAnsi="Times New Roman"/>
          <w:sz w:val="28"/>
          <w:szCs w:val="28"/>
        </w:rPr>
        <w:t>інш</w:t>
      </w:r>
      <w:r w:rsidR="00A51E6C" w:rsidRPr="006B3846">
        <w:rPr>
          <w:rFonts w:ascii="Times New Roman" w:hAnsi="Times New Roman"/>
          <w:sz w:val="28"/>
          <w:szCs w:val="28"/>
        </w:rPr>
        <w:t>і</w:t>
      </w:r>
      <w:r w:rsidRPr="00165221">
        <w:rPr>
          <w:rFonts w:ascii="Times New Roman" w:hAnsi="Times New Roman"/>
          <w:sz w:val="28"/>
          <w:szCs w:val="28"/>
        </w:rPr>
        <w:t xml:space="preserve"> питан</w:t>
      </w:r>
      <w:r w:rsidR="00A51E6C" w:rsidRPr="00165221">
        <w:rPr>
          <w:rFonts w:ascii="Times New Roman" w:hAnsi="Times New Roman"/>
          <w:sz w:val="28"/>
          <w:szCs w:val="28"/>
        </w:rPr>
        <w:t xml:space="preserve">ня, розгляд яких віднесено до </w:t>
      </w:r>
      <w:r w:rsidRPr="006266C7">
        <w:rPr>
          <w:rFonts w:ascii="Times New Roman" w:hAnsi="Times New Roman"/>
          <w:sz w:val="28"/>
          <w:szCs w:val="28"/>
        </w:rPr>
        <w:t>компетенції Комітету</w:t>
      </w:r>
      <w:r w:rsidRPr="006B3846">
        <w:rPr>
          <w:rFonts w:ascii="Times New Roman" w:hAnsi="Times New Roman"/>
          <w:sz w:val="28"/>
          <w:szCs w:val="28"/>
          <w:lang w:val="ru-RU"/>
        </w:rPr>
        <w:t>.</w:t>
      </w:r>
    </w:p>
    <w:sectPr w:rsidR="00475950" w:rsidRPr="006B3846">
      <w:footerReference w:type="default" r:id="rId9"/>
      <w:pgSz w:w="11907" w:h="16840"/>
      <w:pgMar w:top="851" w:right="567" w:bottom="851" w:left="1701" w:header="0" w:footer="11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A74D0" w14:textId="77777777" w:rsidR="00AA198B" w:rsidRDefault="00AA198B">
      <w:r>
        <w:separator/>
      </w:r>
    </w:p>
  </w:endnote>
  <w:endnote w:type="continuationSeparator" w:id="0">
    <w:p w14:paraId="00D216A6" w14:textId="77777777" w:rsidR="00AA198B" w:rsidRDefault="00AA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6FB07" w14:textId="2A544561" w:rsidR="00475950" w:rsidRDefault="00036F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200" w:line="276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E6170C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  <w:p w14:paraId="2CE8FC22" w14:textId="77777777" w:rsidR="00475950" w:rsidRDefault="004759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FC952" w14:textId="77777777" w:rsidR="00AA198B" w:rsidRDefault="00AA198B">
      <w:r>
        <w:separator/>
      </w:r>
    </w:p>
  </w:footnote>
  <w:footnote w:type="continuationSeparator" w:id="0">
    <w:p w14:paraId="5005A07F" w14:textId="77777777" w:rsidR="00AA198B" w:rsidRDefault="00AA1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4"/>
        <w:szCs w:val="24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B1C62DA"/>
    <w:multiLevelType w:val="hybridMultilevel"/>
    <w:tmpl w:val="43EC34E4"/>
    <w:lvl w:ilvl="0" w:tplc="9D5C3B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0E82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D052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6EC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28D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1A46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0497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C062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892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950DC5"/>
    <w:multiLevelType w:val="multilevel"/>
    <w:tmpl w:val="F58225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2A0658C0"/>
    <w:multiLevelType w:val="multilevel"/>
    <w:tmpl w:val="26968FB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lang w:val="uk-UA"/>
      </w:rPr>
    </w:lvl>
    <w:lvl w:ilvl="2">
      <w:numFmt w:val="bullet"/>
      <w:lvlText w:val="-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sz w:val="24"/>
        <w:szCs w:val="24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A495406"/>
    <w:multiLevelType w:val="multilevel"/>
    <w:tmpl w:val="8674B56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5" w15:restartNumberingAfterBreak="0">
    <w:nsid w:val="3F32131D"/>
    <w:multiLevelType w:val="multilevel"/>
    <w:tmpl w:val="F49CB97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lang w:val="uk-UA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720" w:hanging="720"/>
      </w:pPr>
      <w:rPr>
        <w:rFonts w:ascii="Symbol" w:hAnsi="Symbol" w:cs="Times New Roman" w:hint="default"/>
        <w:sz w:val="24"/>
        <w:szCs w:val="24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547C53EB"/>
    <w:multiLevelType w:val="multilevel"/>
    <w:tmpl w:val="5D5CE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579A7CE7"/>
    <w:multiLevelType w:val="multilevel"/>
    <w:tmpl w:val="E79E2B4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8" w15:restartNumberingAfterBreak="0">
    <w:nsid w:val="61734713"/>
    <w:multiLevelType w:val="hybridMultilevel"/>
    <w:tmpl w:val="BAA28E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50677"/>
    <w:multiLevelType w:val="multilevel"/>
    <w:tmpl w:val="48C8A38C"/>
    <w:lvl w:ilvl="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C27715D"/>
    <w:multiLevelType w:val="hybridMultilevel"/>
    <w:tmpl w:val="4B3A87A2"/>
    <w:lvl w:ilvl="0" w:tplc="7F045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B29E8"/>
    <w:multiLevelType w:val="multilevel"/>
    <w:tmpl w:val="BB9E396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12" w15:restartNumberingAfterBreak="0">
    <w:nsid w:val="7A706653"/>
    <w:multiLevelType w:val="multilevel"/>
    <w:tmpl w:val="91DAE7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12"/>
  </w:num>
  <w:num w:numId="6">
    <w:abstractNumId w:val="11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50"/>
    <w:rsid w:val="00036F48"/>
    <w:rsid w:val="00065723"/>
    <w:rsid w:val="00165221"/>
    <w:rsid w:val="001D4942"/>
    <w:rsid w:val="002A0D6E"/>
    <w:rsid w:val="002A3C3C"/>
    <w:rsid w:val="002D317B"/>
    <w:rsid w:val="00362AB7"/>
    <w:rsid w:val="0041351B"/>
    <w:rsid w:val="00475950"/>
    <w:rsid w:val="004B2EBD"/>
    <w:rsid w:val="004C5312"/>
    <w:rsid w:val="004E25F9"/>
    <w:rsid w:val="00523544"/>
    <w:rsid w:val="0052507B"/>
    <w:rsid w:val="00591B19"/>
    <w:rsid w:val="005C0710"/>
    <w:rsid w:val="006122B1"/>
    <w:rsid w:val="006266C7"/>
    <w:rsid w:val="006440C9"/>
    <w:rsid w:val="006A6AA9"/>
    <w:rsid w:val="006B3846"/>
    <w:rsid w:val="006C57C0"/>
    <w:rsid w:val="007363C7"/>
    <w:rsid w:val="007B41CA"/>
    <w:rsid w:val="00813DDA"/>
    <w:rsid w:val="0086460A"/>
    <w:rsid w:val="008878ED"/>
    <w:rsid w:val="00903C12"/>
    <w:rsid w:val="00937D28"/>
    <w:rsid w:val="009860BE"/>
    <w:rsid w:val="00992DE5"/>
    <w:rsid w:val="00997237"/>
    <w:rsid w:val="009C0727"/>
    <w:rsid w:val="00A0632A"/>
    <w:rsid w:val="00A25879"/>
    <w:rsid w:val="00A51E6C"/>
    <w:rsid w:val="00A72DAF"/>
    <w:rsid w:val="00A8032B"/>
    <w:rsid w:val="00AA198B"/>
    <w:rsid w:val="00AA2947"/>
    <w:rsid w:val="00B8026E"/>
    <w:rsid w:val="00BC3311"/>
    <w:rsid w:val="00BE3F5E"/>
    <w:rsid w:val="00BF0E25"/>
    <w:rsid w:val="00C64D15"/>
    <w:rsid w:val="00CF7712"/>
    <w:rsid w:val="00D10FAE"/>
    <w:rsid w:val="00D54962"/>
    <w:rsid w:val="00DB541A"/>
    <w:rsid w:val="00DD4796"/>
    <w:rsid w:val="00DF519C"/>
    <w:rsid w:val="00E4477A"/>
    <w:rsid w:val="00E6170C"/>
    <w:rsid w:val="00EE0CB5"/>
    <w:rsid w:val="00F26ED8"/>
    <w:rsid w:val="00FA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B9D1"/>
  <w15:docId w15:val="{09920C30-70FC-454A-A08C-2B755549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вичайний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11">
    <w:name w:val="Шрифт абзацу за промовчанням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Звичайна таблиця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має списку1"/>
    <w:qFormat/>
  </w:style>
  <w:style w:type="table" w:customStyle="1" w:styleId="14">
    <w:name w:val="Сітка таблиці1"/>
    <w:basedOn w:val="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Абзац списку Знак;Заголовок 1.1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customStyle="1" w:styleId="111">
    <w:name w:val="Абзац списку;Заголовок 1.1"/>
    <w:basedOn w:val="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15">
    <w:name w:val="Верхній колонтитул1"/>
    <w:basedOn w:val="10"/>
    <w:qFormat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16">
    <w:name w:val="Нижній колонтитул1"/>
    <w:basedOn w:val="10"/>
    <w:qFormat/>
    <w:pPr>
      <w:tabs>
        <w:tab w:val="center" w:pos="4819"/>
        <w:tab w:val="right" w:pos="9639"/>
      </w:tabs>
    </w:pPr>
  </w:style>
  <w:style w:type="character" w:customStyle="1" w:styleId="a5">
    <w:name w:val="Ниж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17">
    <w:name w:val="Знак примітки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8">
    <w:name w:val="Текст примітки1"/>
    <w:basedOn w:val="10"/>
    <w:qFormat/>
    <w:rPr>
      <w:sz w:val="20"/>
      <w:szCs w:val="20"/>
    </w:rPr>
  </w:style>
  <w:style w:type="character" w:customStyle="1" w:styleId="a6">
    <w:name w:val="Текст примітки Знак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19">
    <w:name w:val="Тема примітки1"/>
    <w:basedOn w:val="18"/>
    <w:next w:val="18"/>
    <w:qFormat/>
    <w:rPr>
      <w:b/>
      <w:bCs/>
    </w:rPr>
  </w:style>
  <w:style w:type="character" w:customStyle="1" w:styleId="a7">
    <w:name w:val="Тема примітки Знак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1a">
    <w:name w:val="Текст у виносці1"/>
    <w:basedOn w:val="1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rynqvb">
    <w:name w:val="rynqvb"/>
    <w:basedOn w:val="11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1b"/>
    <w:uiPriority w:val="99"/>
    <w:semiHidden/>
    <w:unhideWhenUsed/>
    <w:rsid w:val="00A25879"/>
    <w:rPr>
      <w:rFonts w:ascii="Segoe UI" w:hAnsi="Segoe UI" w:cs="Segoe UI"/>
      <w:sz w:val="18"/>
      <w:szCs w:val="18"/>
    </w:rPr>
  </w:style>
  <w:style w:type="character" w:customStyle="1" w:styleId="1b">
    <w:name w:val="Текст у виносці Знак1"/>
    <w:basedOn w:val="a0"/>
    <w:link w:val="ab"/>
    <w:uiPriority w:val="99"/>
    <w:semiHidden/>
    <w:rsid w:val="00A25879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E0CB5"/>
    <w:rPr>
      <w:sz w:val="16"/>
      <w:szCs w:val="16"/>
    </w:rPr>
  </w:style>
  <w:style w:type="paragraph" w:styleId="ad">
    <w:name w:val="annotation text"/>
    <w:basedOn w:val="a"/>
    <w:link w:val="1c"/>
    <w:uiPriority w:val="99"/>
    <w:semiHidden/>
    <w:unhideWhenUsed/>
    <w:rsid w:val="00EE0CB5"/>
  </w:style>
  <w:style w:type="character" w:customStyle="1" w:styleId="1c">
    <w:name w:val="Текст примітки Знак1"/>
    <w:basedOn w:val="a0"/>
    <w:link w:val="ad"/>
    <w:uiPriority w:val="99"/>
    <w:semiHidden/>
    <w:rsid w:val="00EE0CB5"/>
  </w:style>
  <w:style w:type="paragraph" w:styleId="ae">
    <w:name w:val="annotation subject"/>
    <w:basedOn w:val="ad"/>
    <w:next w:val="ad"/>
    <w:link w:val="1d"/>
    <w:uiPriority w:val="99"/>
    <w:semiHidden/>
    <w:unhideWhenUsed/>
    <w:rsid w:val="00EE0CB5"/>
    <w:rPr>
      <w:b/>
      <w:bCs/>
    </w:rPr>
  </w:style>
  <w:style w:type="character" w:customStyle="1" w:styleId="1d">
    <w:name w:val="Тема примітки Знак1"/>
    <w:basedOn w:val="1c"/>
    <w:link w:val="ae"/>
    <w:uiPriority w:val="99"/>
    <w:semiHidden/>
    <w:rsid w:val="00EE0CB5"/>
    <w:rPr>
      <w:b/>
      <w:bCs/>
    </w:rPr>
  </w:style>
  <w:style w:type="paragraph" w:styleId="af">
    <w:name w:val="List Paragraph"/>
    <w:basedOn w:val="a"/>
    <w:uiPriority w:val="34"/>
    <w:qFormat/>
    <w:rsid w:val="00DD4796"/>
    <w:pPr>
      <w:ind w:left="720"/>
      <w:contextualSpacing/>
    </w:pPr>
  </w:style>
  <w:style w:type="paragraph" w:styleId="af0">
    <w:name w:val="Revision"/>
    <w:hidden/>
    <w:uiPriority w:val="99"/>
    <w:semiHidden/>
    <w:rsid w:val="00DD4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/+Y5gAnUPN/70yTlB4ibYkEZg==">CgMxLjA4AHIhMTc2R0ctM0tyQ3pPbEF6c0U3dVN3MzRWdkhuRFpnTDFP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FD489-37AF-4135-B9BB-4BFD543A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4563</Words>
  <Characters>2602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Коцюба Олена Вікторівна</dc:creator>
  <cp:lastModifiedBy>Дука Вікторія Петрівна</cp:lastModifiedBy>
  <cp:revision>6</cp:revision>
  <dcterms:created xsi:type="dcterms:W3CDTF">2025-01-03T13:45:00Z</dcterms:created>
  <dcterms:modified xsi:type="dcterms:W3CDTF">2025-01-24T11:31:00Z</dcterms:modified>
</cp:coreProperties>
</file>